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atLeast"/>
        <w:jc w:val="center"/>
        <w:rPr>
          <w:rFonts w:ascii="彩虹小标宋" w:hAnsi="宋体" w:eastAsia="彩虹小标宋"/>
          <w:sz w:val="44"/>
        </w:rPr>
      </w:pPr>
      <w:bookmarkStart w:id="0" w:name="标题"/>
      <w:r>
        <w:rPr>
          <w:rFonts w:hint="eastAsia" w:ascii="彩虹小标宋" w:hAnsi="宋体" w:eastAsia="彩虹小标宋"/>
          <w:sz w:val="44"/>
        </w:rPr>
        <w:t>安防监控中心UPS改造采购需求</w:t>
      </w:r>
    </w:p>
    <w:bookmarkEnd w:id="0"/>
    <w:p>
      <w:pPr>
        <w:rPr>
          <w:rFonts w:ascii="宋体" w:hAnsi="宋体"/>
        </w:rPr>
      </w:pPr>
    </w:p>
    <w:p>
      <w:pPr>
        <w:ind w:firstLine="640" w:firstLineChars="200"/>
      </w:pPr>
      <w:r>
        <w:rPr>
          <w:rFonts w:hint="eastAsia"/>
        </w:rPr>
        <w:t>本次采购拟购置1台100KVA模块化UPS及配套蓄电池，要求供应商提供设备配置方案及安装实施服务,详细采购需求如下：</w:t>
      </w:r>
    </w:p>
    <w:p>
      <w:pPr>
        <w:ind w:firstLine="643" w:firstLineChars="200"/>
        <w:rPr>
          <w:b/>
          <w:bCs/>
        </w:rPr>
      </w:pPr>
      <w:r>
        <w:rPr>
          <w:rFonts w:hint="eastAsia"/>
          <w:b/>
          <w:bCs/>
        </w:rPr>
        <w:t>一、现有设备及</w:t>
      </w:r>
      <w:r>
        <w:rPr>
          <w:b/>
          <w:bCs/>
        </w:rPr>
        <w:t>环境现状说明</w:t>
      </w:r>
    </w:p>
    <w:p>
      <w:pPr>
        <w:ind w:firstLine="640" w:firstLineChars="200"/>
      </w:pPr>
      <w:r>
        <w:rPr>
          <w:rFonts w:hint="eastAsia"/>
        </w:rPr>
        <w:t>原有设备为</w:t>
      </w:r>
      <w:r>
        <w:t>100K工频UPS，</w:t>
      </w:r>
      <w:r>
        <w:rPr>
          <w:rFonts w:hint="eastAsia"/>
        </w:rPr>
        <w:t>配备58节100AH铅酸电池。用电总功率约为</w:t>
      </w:r>
      <w:r>
        <w:t>35</w:t>
      </w:r>
      <w:r>
        <w:rPr>
          <w:rFonts w:hint="eastAsia"/>
        </w:rPr>
        <w:t>～</w:t>
      </w:r>
      <w:r>
        <w:t>45KW</w:t>
      </w:r>
      <w:r>
        <w:rPr>
          <w:rFonts w:hint="eastAsia"/>
        </w:rPr>
        <w:t>，后备时间约在</w:t>
      </w:r>
      <w:r>
        <w:t>20</w:t>
      </w:r>
      <w:r>
        <w:rPr>
          <w:rFonts w:hint="eastAsia"/>
        </w:rPr>
        <w:t>分钟左右。</w:t>
      </w:r>
    </w:p>
    <w:p>
      <w:pPr>
        <w:ind w:firstLine="640" w:firstLineChars="200"/>
      </w:pPr>
      <w:r>
        <w:rPr>
          <w:rFonts w:hint="eastAsia"/>
        </w:rPr>
        <w:t>UPS输入由1台输入配电柜提供，输入配电柜提供</w:t>
      </w:r>
      <w:r>
        <w:t>1个UPS输入空开250A/3P</w:t>
      </w:r>
      <w:r>
        <w:rPr>
          <w:rFonts w:hint="eastAsia"/>
        </w:rPr>
        <w:t>和</w:t>
      </w:r>
      <w:r>
        <w:t>1个外置维修旁路空开250A/3P；</w:t>
      </w:r>
      <w:r>
        <w:rPr>
          <w:rFonts w:hint="eastAsia"/>
        </w:rPr>
        <w:t>UPS输出通过</w:t>
      </w:r>
      <w:r>
        <w:t>一台输出配电柜</w:t>
      </w:r>
      <w:r>
        <w:rPr>
          <w:rFonts w:hint="eastAsia"/>
        </w:rPr>
        <w:t>输出</w:t>
      </w:r>
      <w:r>
        <w:t>。</w:t>
      </w:r>
    </w:p>
    <w:p>
      <w:pPr>
        <w:ind w:firstLine="640" w:firstLineChars="200"/>
      </w:pPr>
      <w:r>
        <w:rPr>
          <w:rFonts w:hint="eastAsia"/>
        </w:rPr>
        <w:t>设备</w:t>
      </w:r>
      <w:r>
        <w:t>间所在楼层属于民用</w:t>
      </w:r>
      <w:r>
        <w:rPr>
          <w:rFonts w:hint="eastAsia"/>
        </w:rPr>
        <w:t>建筑</w:t>
      </w:r>
      <w:r>
        <w:t>楼面，整体承重</w:t>
      </w:r>
      <w:r>
        <w:rPr>
          <w:rFonts w:hint="eastAsia"/>
        </w:rPr>
        <w:t>按民用建筑标准计算。</w:t>
      </w:r>
    </w:p>
    <w:p>
      <w:pPr>
        <w:ind w:firstLine="643" w:firstLineChars="200"/>
        <w:rPr>
          <w:b/>
          <w:bCs/>
        </w:rPr>
      </w:pPr>
      <w:r>
        <w:rPr>
          <w:rFonts w:hint="eastAsia"/>
          <w:b/>
          <w:bCs/>
        </w:rPr>
        <w:t>二、本次改造需求</w:t>
      </w:r>
    </w:p>
    <w:p>
      <w:pPr>
        <w:ind w:firstLine="640" w:firstLineChars="200"/>
      </w:pPr>
      <w:r>
        <w:rPr>
          <w:rFonts w:hint="eastAsia"/>
        </w:rPr>
        <w:t>（一） UPS主机要求</w:t>
      </w:r>
    </w:p>
    <w:p>
      <w:pPr>
        <w:ind w:firstLine="640" w:firstLineChars="200"/>
      </w:pPr>
      <w:r>
        <w:rPr>
          <w:rFonts w:hint="eastAsia"/>
        </w:rPr>
        <w:t>品牌：科华、科士达、华为</w:t>
      </w:r>
    </w:p>
    <w:p>
      <w:pPr>
        <w:ind w:firstLine="640" w:firstLineChars="200"/>
      </w:pPr>
      <w:r>
        <w:rPr>
          <w:rFonts w:hint="eastAsia"/>
        </w:rPr>
        <w:t>工作模式：三进三出双变换在线式/高频、模块化</w:t>
      </w:r>
    </w:p>
    <w:p>
      <w:pPr>
        <w:ind w:firstLine="640" w:firstLineChars="200"/>
      </w:pPr>
      <w:r>
        <w:rPr>
          <w:rFonts w:hint="eastAsia"/>
        </w:rPr>
        <w:t>额定容量：≥</w:t>
      </w:r>
      <w:r>
        <w:t>100kVA</w:t>
      </w:r>
    </w:p>
    <w:p>
      <w:pPr>
        <w:ind w:firstLine="640" w:firstLineChars="200"/>
      </w:pPr>
      <w:r>
        <w:rPr>
          <w:rFonts w:hint="eastAsia"/>
        </w:rPr>
        <w:t>额定输入电压：</w:t>
      </w:r>
      <w:r>
        <w:t>380Vac</w:t>
      </w:r>
    </w:p>
    <w:p>
      <w:pPr>
        <w:ind w:firstLine="640" w:firstLineChars="200"/>
      </w:pPr>
      <w:r>
        <w:rPr>
          <w:rFonts w:hint="eastAsia"/>
        </w:rPr>
        <w:t>输入电压范围：</w:t>
      </w:r>
      <w:r>
        <w:t>160-400Vac</w:t>
      </w:r>
    </w:p>
    <w:p>
      <w:pPr>
        <w:ind w:firstLine="640" w:firstLineChars="200"/>
      </w:pPr>
      <w:r>
        <w:rPr>
          <w:rFonts w:hint="eastAsia"/>
        </w:rPr>
        <w:t>输出电压：</w:t>
      </w:r>
      <w:r>
        <w:t>380Vac</w:t>
      </w:r>
      <w:r>
        <w:rPr>
          <w:rFonts w:hint="eastAsia"/>
        </w:rPr>
        <w:t>±</w:t>
      </w:r>
      <w:r>
        <w:t>1%</w:t>
      </w:r>
    </w:p>
    <w:p>
      <w:pPr>
        <w:ind w:firstLine="640" w:firstLineChars="200"/>
      </w:pPr>
      <w:r>
        <w:rPr>
          <w:rFonts w:hint="eastAsia"/>
        </w:rPr>
        <w:t>输出频率：</w:t>
      </w:r>
      <w:r>
        <w:t>50/60Hz</w:t>
      </w:r>
      <w:r>
        <w:rPr>
          <w:rFonts w:hint="eastAsia"/>
        </w:rPr>
        <w:t>±</w:t>
      </w:r>
      <w:r>
        <w:t>0.1%</w:t>
      </w:r>
    </w:p>
    <w:p>
      <w:pPr>
        <w:ind w:firstLine="640" w:firstLineChars="200"/>
      </w:pPr>
      <w:r>
        <w:rPr>
          <w:rFonts w:hint="eastAsia"/>
        </w:rPr>
        <w:t>系统效率：≥96</w:t>
      </w:r>
      <w:r>
        <w:t xml:space="preserve">% </w:t>
      </w:r>
    </w:p>
    <w:p>
      <w:pPr>
        <w:ind w:firstLine="640" w:firstLineChars="200"/>
      </w:pPr>
      <w:r>
        <w:rPr>
          <w:rFonts w:hint="eastAsia"/>
        </w:rPr>
        <w:t>冗余备份能力：功率模块配备必须保证用电负载50KW条件下具备模块单元的冗余备份能力</w:t>
      </w:r>
    </w:p>
    <w:p>
      <w:pPr>
        <w:ind w:firstLine="640" w:firstLineChars="200"/>
      </w:pPr>
      <w:r>
        <w:rPr>
          <w:rFonts w:hint="eastAsia"/>
        </w:rPr>
        <w:t>（二） 蓄电池配备要求</w:t>
      </w:r>
    </w:p>
    <w:p>
      <w:pPr>
        <w:ind w:firstLine="640" w:firstLineChars="200"/>
        <w:rPr>
          <w:rFonts w:hint="eastAsia"/>
          <w:lang w:eastAsia="zh-CN"/>
        </w:rPr>
      </w:pPr>
      <w:r>
        <w:rPr>
          <w:rFonts w:hint="eastAsia"/>
        </w:rPr>
        <w:t>品牌：</w:t>
      </w:r>
      <w:r>
        <w:rPr>
          <w:rFonts w:hint="eastAsia"/>
          <w:lang w:eastAsia="zh-CN"/>
        </w:rPr>
        <w:t>科华、科士达、双登、雄韬、华达、南都、光宇、丰日、志成冠军</w:t>
      </w:r>
    </w:p>
    <w:p>
      <w:pPr>
        <w:ind w:firstLine="640" w:firstLineChars="200"/>
        <w:rPr>
          <w:rFonts w:hint="eastAsia"/>
        </w:rPr>
      </w:pPr>
      <w:r>
        <w:rPr>
          <w:rFonts w:hint="eastAsia"/>
        </w:rPr>
        <w:t>设计</w:t>
      </w:r>
      <w:r>
        <w:rPr>
          <w:rFonts w:hint="eastAsia"/>
          <w:lang w:eastAsia="zh-CN"/>
        </w:rPr>
        <w:t>寿命</w:t>
      </w:r>
      <w:r>
        <w:rPr>
          <w:rFonts w:hint="eastAsia"/>
        </w:rPr>
        <w:t>:≥6年(20~</w:t>
      </w:r>
      <w:r>
        <w:t>25</w:t>
      </w:r>
      <w:r>
        <w:rPr>
          <w:rFonts w:hint="eastAsia"/>
        </w:rPr>
        <w:t>℃)</w:t>
      </w:r>
    </w:p>
    <w:p>
      <w:pPr>
        <w:ind w:firstLine="640" w:firstLineChars="200"/>
        <w:rPr>
          <w:rFonts w:hint="eastAsia"/>
        </w:rPr>
      </w:pPr>
      <w:r>
        <w:rPr>
          <w:rFonts w:hint="eastAsia"/>
        </w:rPr>
        <w:t>设计浮充</w:t>
      </w:r>
      <w:r>
        <w:rPr>
          <w:rFonts w:hint="eastAsia"/>
          <w:lang w:eastAsia="zh-CN"/>
        </w:rPr>
        <w:t>寿命</w:t>
      </w:r>
      <w:r>
        <w:rPr>
          <w:rFonts w:hint="eastAsia"/>
        </w:rPr>
        <w:t>:≥6年(25±2℃)</w:t>
      </w:r>
    </w:p>
    <w:p>
      <w:pPr>
        <w:ind w:firstLine="640" w:firstLineChars="200"/>
        <w:rPr>
          <w:rFonts w:hint="eastAsia"/>
        </w:rPr>
      </w:pPr>
      <w:r>
        <w:rPr>
          <w:rFonts w:hint="eastAsia"/>
        </w:rPr>
        <w:t>循环</w:t>
      </w:r>
      <w:r>
        <w:rPr>
          <w:rFonts w:hint="eastAsia"/>
          <w:lang w:eastAsia="zh-CN"/>
        </w:rPr>
        <w:t>寿命</w:t>
      </w:r>
      <w:r>
        <w:rPr>
          <w:rFonts w:hint="eastAsia"/>
        </w:rPr>
        <w:t>:≥</w:t>
      </w:r>
      <w:r>
        <w:rPr>
          <w:rFonts w:hint="eastAsia"/>
          <w:lang w:val="en-US" w:eastAsia="zh-CN"/>
        </w:rPr>
        <w:t>2</w:t>
      </w:r>
      <w:r>
        <w:rPr>
          <w:rFonts w:hint="eastAsia"/>
        </w:rPr>
        <w:t>00次</w:t>
      </w:r>
    </w:p>
    <w:p>
      <w:pPr>
        <w:ind w:firstLine="640" w:firstLineChars="200"/>
        <w:rPr>
          <w:rFonts w:hint="eastAsia"/>
        </w:rPr>
      </w:pPr>
      <w:r>
        <w:rPr>
          <w:rFonts w:hint="eastAsia"/>
        </w:rPr>
        <w:t>工作温度:-15~45℃内阻(12V,</w:t>
      </w:r>
      <w:r>
        <w:t>25</w:t>
      </w:r>
      <w:r>
        <w:rPr>
          <w:rFonts w:hint="eastAsia"/>
        </w:rPr>
        <w:t>℃完全充电条件</w:t>
      </w:r>
    </w:p>
    <w:p>
      <w:pPr>
        <w:ind w:firstLine="640" w:firstLineChars="200"/>
      </w:pPr>
      <w:r>
        <w:rPr>
          <w:rFonts w:hint="eastAsia"/>
        </w:rPr>
        <w:t>下):≤11 mΩ(38 Ah)≤8 mΩ(65 Ah)≤6 mΩ(100 Ah)</w:t>
      </w:r>
    </w:p>
    <w:p>
      <w:pPr>
        <w:ind w:firstLine="640" w:firstLineChars="200"/>
      </w:pPr>
      <w:r>
        <w:rPr>
          <w:rFonts w:hint="eastAsia"/>
        </w:rPr>
        <w:t>后备时间：用电负载50KW，后备时间≥30分钟</w:t>
      </w:r>
    </w:p>
    <w:p>
      <w:pPr>
        <w:ind w:firstLine="640" w:firstLineChars="200"/>
      </w:pPr>
      <w:r>
        <w:rPr>
          <w:rFonts w:hint="eastAsia"/>
        </w:rPr>
        <w:t>（三）设备配置方案及安装实施要求</w:t>
      </w:r>
    </w:p>
    <w:p>
      <w:pPr>
        <w:ind w:firstLine="640" w:firstLineChars="200"/>
      </w:pPr>
      <w:r>
        <w:rPr>
          <w:rFonts w:hint="eastAsia"/>
        </w:rPr>
        <w:t>入选供货商应在了解确认现有场地条件的前提下提供本次改造的设备配置方案及安装实施服务，包括且不限于：</w:t>
      </w:r>
    </w:p>
    <w:p>
      <w:pPr>
        <w:ind w:firstLine="640" w:firstLineChars="200"/>
      </w:pPr>
      <w:r>
        <w:rPr>
          <w:rFonts w:hint="eastAsia"/>
        </w:rPr>
        <w:t>1）安装场地勘察；</w:t>
      </w:r>
    </w:p>
    <w:p>
      <w:pPr>
        <w:ind w:firstLine="640" w:firstLineChars="200"/>
      </w:pPr>
      <w:r>
        <w:rPr>
          <w:rFonts w:hint="eastAsia"/>
        </w:rPr>
        <w:t>2）设备配置方案；</w:t>
      </w:r>
    </w:p>
    <w:p>
      <w:pPr>
        <w:ind w:firstLine="640" w:firstLineChars="200"/>
      </w:pPr>
      <w:r>
        <w:rPr>
          <w:rFonts w:hint="eastAsia"/>
        </w:rPr>
        <w:t>3）安装施工方案；</w:t>
      </w:r>
    </w:p>
    <w:p>
      <w:pPr>
        <w:ind w:firstLine="640" w:firstLineChars="200"/>
      </w:pPr>
      <w:r>
        <w:rPr>
          <w:rFonts w:hint="eastAsia"/>
        </w:rPr>
        <w:t>4）安装线缆、配件提供；</w:t>
      </w:r>
    </w:p>
    <w:p>
      <w:pPr>
        <w:ind w:firstLine="640" w:firstLineChars="200"/>
      </w:pPr>
      <w:r>
        <w:rPr>
          <w:rFonts w:hint="eastAsia"/>
        </w:rPr>
        <w:t>5）既有设备拆除;</w:t>
      </w:r>
    </w:p>
    <w:p>
      <w:pPr>
        <w:ind w:firstLine="640" w:firstLineChars="200"/>
      </w:pPr>
      <w:r>
        <w:rPr>
          <w:rFonts w:hint="eastAsia"/>
        </w:rPr>
        <w:t>6）新购设备安装调试；</w:t>
      </w:r>
    </w:p>
    <w:p>
      <w:pPr>
        <w:ind w:firstLine="640" w:firstLineChars="200"/>
      </w:pPr>
      <w:r>
        <w:rPr>
          <w:rFonts w:hint="eastAsia"/>
        </w:rPr>
        <w:t>7）安装场地修复；</w:t>
      </w:r>
    </w:p>
    <w:p>
      <w:pPr>
        <w:ind w:firstLine="640" w:firstLineChars="200"/>
      </w:pPr>
      <w:r>
        <w:rPr>
          <w:rFonts w:hint="eastAsia"/>
        </w:rPr>
        <w:t>（四）保修及技术支持服务要求</w:t>
      </w:r>
    </w:p>
    <w:p>
      <w:pPr>
        <w:ind w:firstLine="640" w:firstLineChars="200"/>
      </w:pPr>
      <w:r>
        <w:rPr>
          <w:rFonts w:hint="eastAsia"/>
        </w:rPr>
        <w:t>本次采购设备（包括UPS主机及蓄电池）要求由UPS厂家统一提供保修服务，保修年限不少于5年，并要求每年提供不少于2次的设备保养巡检服务。</w:t>
      </w:r>
    </w:p>
    <w:p>
      <w:pPr>
        <w:ind w:firstLine="640" w:firstLineChars="200"/>
      </w:pPr>
      <w:r>
        <w:rPr>
          <w:rFonts w:hint="eastAsia"/>
        </w:rPr>
        <w:t>保修期内设备的维护保养及故障处理全部免费，供应商应负责协调厂家提供保修所需的</w:t>
      </w:r>
      <w:r>
        <w:t>全部维修备件、电池和耗品，</w:t>
      </w:r>
      <w:r>
        <w:rPr>
          <w:rFonts w:hint="eastAsia"/>
        </w:rPr>
        <w:t>保证设备在保修期内正常运行，满足UPS设备的后备时间要求。</w:t>
      </w:r>
    </w:p>
    <w:p>
      <w:pPr>
        <w:ind w:firstLine="640" w:firstLineChars="200"/>
      </w:pPr>
      <w:r>
        <w:rPr>
          <w:rFonts w:hint="eastAsia"/>
        </w:rPr>
        <w:t>供应商应承诺提供产品使用所需的技术支持及培训，服务方式包括且不限于现场培训指导及电话、微信等非现场咨询解答；</w:t>
      </w:r>
    </w:p>
    <w:p>
      <w:pPr>
        <w:ind w:firstLine="640" w:firstLineChars="200"/>
      </w:pPr>
      <w:r>
        <w:rPr>
          <w:rFonts w:hint="eastAsia"/>
        </w:rPr>
        <w:t>供应商应承诺</w:t>
      </w:r>
      <w:r>
        <w:t>提供7×24小时的电话</w:t>
      </w:r>
      <w:r>
        <w:rPr>
          <w:rFonts w:hint="eastAsia"/>
        </w:rPr>
        <w:t>及其它约定联系方式受理技术支持及故障维修服务请求。设备</w:t>
      </w:r>
      <w:r>
        <w:t>出现故障时，</w:t>
      </w:r>
      <w:r>
        <w:rPr>
          <w:rFonts w:hint="eastAsia"/>
        </w:rPr>
        <w:t>供应商应协调厂家技术人员</w:t>
      </w:r>
      <w:r>
        <w:t>在2小时内到达现场，并在到达现场后</w:t>
      </w:r>
      <w:r>
        <w:rPr>
          <w:rFonts w:hint="eastAsia"/>
        </w:rPr>
        <w:t>的</w:t>
      </w:r>
      <w:r>
        <w:t>2小时内予以解决；未能在规定时间内修复的，供应商</w:t>
      </w:r>
      <w:r>
        <w:rPr>
          <w:rFonts w:hint="eastAsia"/>
        </w:rPr>
        <w:t>应在之后的24小时之内提供替代设备或其它满足甲方服务要求的替代措施。</w:t>
      </w:r>
    </w:p>
    <w:p>
      <w:pPr>
        <w:ind w:firstLine="640" w:firstLineChars="200"/>
      </w:pPr>
      <w:r>
        <w:rPr>
          <w:rFonts w:hint="eastAsia"/>
        </w:rPr>
        <w:t>（五）其它要求</w:t>
      </w:r>
    </w:p>
    <w:p>
      <w:pPr>
        <w:ind w:firstLine="640" w:firstLineChars="200"/>
      </w:pPr>
      <w:r>
        <w:rPr>
          <w:rFonts w:hint="eastAsia"/>
        </w:rPr>
        <w:t>入选供货商应保证所提供的产品</w:t>
      </w:r>
      <w:r>
        <w:t>符合同类同规格产品的</w:t>
      </w:r>
      <w:r>
        <w:rPr>
          <w:rFonts w:hint="eastAsia"/>
        </w:rPr>
        <w:t>国家及行业相关的质量、安全技术标准，并提供厂家出具的产品销售授权及保修服务承诺书。</w:t>
      </w:r>
    </w:p>
    <w:p>
      <w:pPr>
        <w:ind w:firstLine="643" w:firstLineChars="200"/>
        <w:rPr>
          <w:b/>
          <w:bCs/>
        </w:rPr>
      </w:pPr>
      <w:r>
        <w:rPr>
          <w:rFonts w:hint="eastAsia"/>
          <w:b/>
          <w:bCs/>
        </w:rPr>
        <w:t>三、验收标准</w:t>
      </w:r>
    </w:p>
    <w:p>
      <w:pPr>
        <w:ind w:firstLine="640" w:firstLineChars="200"/>
      </w:pPr>
      <w:r>
        <w:t>1.设备到货安装调试验收合格；</w:t>
      </w:r>
    </w:p>
    <w:p>
      <w:pPr>
        <w:ind w:firstLine="640" w:firstLineChars="200"/>
      </w:pPr>
      <w:r>
        <w:rPr>
          <w:rFonts w:hint="eastAsia"/>
        </w:rPr>
        <w:t>2.设备交付稳定运行30</w:t>
      </w:r>
      <w:r>
        <w:t xml:space="preserve"> 日</w:t>
      </w:r>
      <w:r>
        <w:rPr>
          <w:rFonts w:hint="eastAsia"/>
        </w:rPr>
        <w:t>无故障或质量问题</w:t>
      </w:r>
      <w:r>
        <w:t>；</w:t>
      </w:r>
    </w:p>
    <w:p>
      <w:pPr>
        <w:ind w:firstLine="643" w:firstLineChars="200"/>
        <w:rPr>
          <w:b/>
          <w:bCs/>
        </w:rPr>
      </w:pPr>
      <w:r>
        <w:rPr>
          <w:rFonts w:hint="eastAsia"/>
          <w:b/>
          <w:bCs/>
        </w:rPr>
        <w:t>四、款项支付</w:t>
      </w:r>
    </w:p>
    <w:p>
      <w:pPr>
        <w:ind w:firstLine="640" w:firstLineChars="200"/>
      </w:pPr>
      <w:r>
        <w:rPr>
          <w:rFonts w:hint="eastAsia"/>
        </w:rPr>
        <w:t>1.</w:t>
      </w:r>
      <w:r>
        <w:t>自设备到货安装调试验收合格</w:t>
      </w:r>
      <w:r>
        <w:rPr>
          <w:rFonts w:hint="eastAsia"/>
        </w:rPr>
        <w:t>并交付稳定运行30</w:t>
      </w:r>
      <w:r>
        <w:t xml:space="preserve"> 日</w:t>
      </w:r>
      <w:r>
        <w:rPr>
          <w:rFonts w:hint="eastAsia"/>
        </w:rPr>
        <w:t>无故障或质量问题</w:t>
      </w:r>
      <w:r>
        <w:t>，支付</w:t>
      </w:r>
      <w:r>
        <w:rPr>
          <w:rFonts w:hint="eastAsia"/>
        </w:rPr>
        <w:t>合同约定款项</w:t>
      </w:r>
      <w:r>
        <w:t xml:space="preserve">的 90% ； </w:t>
      </w:r>
    </w:p>
    <w:p>
      <w:pPr>
        <w:ind w:firstLine="640" w:firstLineChars="200"/>
      </w:pPr>
      <w:r>
        <w:t>2.</w:t>
      </w:r>
      <w:r>
        <w:rPr>
          <w:rFonts w:hint="eastAsia"/>
        </w:rPr>
        <w:t>按合同约定完成保修期内的设备维护保养工作，</w:t>
      </w:r>
      <w:r>
        <w:t>保</w:t>
      </w:r>
      <w:r>
        <w:rPr>
          <w:rFonts w:hint="eastAsia"/>
        </w:rPr>
        <w:t>修</w:t>
      </w:r>
      <w:r>
        <w:t>期满后30日内，支付</w:t>
      </w:r>
      <w:r>
        <w:rPr>
          <w:rFonts w:hint="eastAsia"/>
        </w:rPr>
        <w:t>合同约定款项</w:t>
      </w:r>
      <w:r>
        <w:t>的10%；</w:t>
      </w:r>
    </w:p>
    <w:p>
      <w:pPr>
        <w:ind w:firstLine="643" w:firstLineChars="200"/>
        <w:rPr>
          <w:b/>
          <w:bCs/>
        </w:rPr>
      </w:pPr>
      <w:r>
        <w:rPr>
          <w:rFonts w:hint="eastAsia"/>
          <w:b/>
          <w:bCs/>
        </w:rPr>
        <w:t>五、报价要求</w:t>
      </w:r>
    </w:p>
    <w:p>
      <w:pPr>
        <w:ind w:firstLine="640" w:firstLineChars="200"/>
        <w:rPr>
          <w:rFonts w:hint="default" w:eastAsia="彩虹粗仿宋"/>
          <w:lang w:val="en-US" w:eastAsia="zh-CN"/>
        </w:rPr>
      </w:pPr>
      <w:r>
        <w:rPr>
          <w:rFonts w:hint="eastAsia"/>
          <w:lang w:val="en-US" w:eastAsia="zh-CN"/>
        </w:rPr>
        <w:t>无</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彩虹小标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4FF43"/>
    <w:multiLevelType w:val="multilevel"/>
    <w:tmpl w:val="A6C4FF43"/>
    <w:lvl w:ilvl="0" w:tentative="0">
      <w:start w:val="1"/>
      <w:numFmt w:val="decimal"/>
      <w:pStyle w:val="2"/>
      <w:isLgl/>
      <w:suff w:val="space"/>
      <w:lvlText w:val="第%1章"/>
      <w:lvlJc w:val="left"/>
      <w:pPr>
        <w:ind w:left="2835" w:firstLine="0"/>
      </w:pPr>
      <w:rPr>
        <w:rFonts w:hint="default" w:ascii="Verdana" w:hAnsi="Verdana" w:eastAsia="宋体"/>
        <w:b/>
        <w:i w:val="0"/>
        <w:snapToGrid/>
        <w:spacing w:val="0"/>
        <w:w w:val="100"/>
        <w:kern w:val="36"/>
        <w:position w:val="0"/>
        <w:sz w:val="36"/>
      </w:rPr>
    </w:lvl>
    <w:lvl w:ilvl="1" w:tentative="0">
      <w:start w:val="1"/>
      <w:numFmt w:val="decimal"/>
      <w:pStyle w:val="3"/>
      <w:isLgl/>
      <w:suff w:val="space"/>
      <w:lvlText w:val="%1.%2"/>
      <w:lvlJc w:val="left"/>
      <w:pPr>
        <w:ind w:left="0" w:firstLine="0"/>
      </w:pPr>
      <w:rPr>
        <w:rFonts w:hint="default" w:ascii="Verdana" w:hAnsi="Verdana" w:eastAsia="宋体"/>
        <w:b/>
        <w:i w:val="0"/>
        <w:snapToGrid/>
        <w:spacing w:val="0"/>
        <w:w w:val="100"/>
        <w:kern w:val="32"/>
        <w:position w:val="0"/>
        <w:sz w:val="32"/>
      </w:rPr>
    </w:lvl>
    <w:lvl w:ilvl="2" w:tentative="0">
      <w:start w:val="1"/>
      <w:numFmt w:val="decimal"/>
      <w:pStyle w:val="4"/>
      <w:isLgl/>
      <w:suff w:val="space"/>
      <w:lvlText w:val="%1.%2.%3"/>
      <w:lvlJc w:val="left"/>
      <w:pPr>
        <w:ind w:left="568" w:firstLine="0"/>
      </w:pPr>
      <w:rPr>
        <w:rFonts w:hint="default" w:ascii="Verdana" w:hAnsi="Verdana" w:eastAsia="宋体"/>
        <w:b/>
        <w:i w:val="0"/>
        <w:snapToGrid/>
        <w:spacing w:val="0"/>
        <w:w w:val="100"/>
        <w:kern w:val="30"/>
        <w:position w:val="0"/>
        <w:sz w:val="30"/>
      </w:rPr>
    </w:lvl>
    <w:lvl w:ilvl="3" w:tentative="0">
      <w:start w:val="1"/>
      <w:numFmt w:val="decimal"/>
      <w:pStyle w:val="5"/>
      <w:isLgl/>
      <w:suff w:val="space"/>
      <w:lvlText w:val="%1.%2.%3.%4"/>
      <w:lvlJc w:val="left"/>
      <w:pPr>
        <w:ind w:left="0" w:firstLine="0"/>
      </w:pPr>
      <w:rPr>
        <w:rFonts w:hint="default" w:ascii="Verdana" w:hAnsi="Verdana" w:eastAsia="宋体"/>
        <w:b/>
        <w:i w:val="0"/>
        <w:snapToGrid/>
        <w:color w:val="auto"/>
        <w:spacing w:val="0"/>
        <w:w w:val="100"/>
        <w:kern w:val="28"/>
        <w:position w:val="0"/>
        <w:sz w:val="28"/>
        <w:szCs w:val="28"/>
        <w:u w:val="none"/>
      </w:rPr>
    </w:lvl>
    <w:lvl w:ilvl="4" w:tentative="0">
      <w:start w:val="1"/>
      <w:numFmt w:val="decimal"/>
      <w:lvlRestart w:val="1"/>
      <w:pStyle w:val="6"/>
      <w:isLgl/>
      <w:suff w:val="space"/>
      <w:lvlText w:val="%1.5.1.3.1"/>
      <w:lvlJc w:val="left"/>
      <w:pPr>
        <w:ind w:left="0" w:firstLine="0"/>
      </w:pPr>
      <w:rPr>
        <w:rFonts w:hint="default" w:ascii="Verdana" w:hAnsi="Verdana" w:eastAsia="宋体"/>
        <w:b w:val="0"/>
        <w:i w:val="0"/>
        <w:sz w:val="21"/>
        <w:szCs w:val="21"/>
      </w:rPr>
    </w:lvl>
    <w:lvl w:ilvl="5" w:tentative="0">
      <w:start w:val="1"/>
      <w:numFmt w:val="decimal"/>
      <w:lvlRestart w:val="1"/>
      <w:pStyle w:val="7"/>
      <w:isLgl/>
      <w:suff w:val="space"/>
      <w:lvlText w:val="图%1.%6"/>
      <w:lvlJc w:val="left"/>
      <w:pPr>
        <w:ind w:left="0" w:firstLine="0"/>
      </w:pPr>
      <w:rPr>
        <w:rFonts w:hint="default" w:ascii="Verdana" w:hAnsi="Verdana" w:eastAsia="宋体"/>
        <w:b w:val="0"/>
        <w:i w:val="0"/>
        <w:color w:val="auto"/>
        <w:sz w:val="21"/>
        <w:szCs w:val="21"/>
        <w:u w:val="none"/>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54F"/>
    <w:rsid w:val="000038A8"/>
    <w:rsid w:val="00003E46"/>
    <w:rsid w:val="00004EB0"/>
    <w:rsid w:val="00012233"/>
    <w:rsid w:val="00016309"/>
    <w:rsid w:val="00047B69"/>
    <w:rsid w:val="00051670"/>
    <w:rsid w:val="00060A2D"/>
    <w:rsid w:val="000618B1"/>
    <w:rsid w:val="00061B8E"/>
    <w:rsid w:val="00065FC2"/>
    <w:rsid w:val="00073F9D"/>
    <w:rsid w:val="00096E06"/>
    <w:rsid w:val="000975DB"/>
    <w:rsid w:val="000A4350"/>
    <w:rsid w:val="000B1D27"/>
    <w:rsid w:val="000C198C"/>
    <w:rsid w:val="000D62DB"/>
    <w:rsid w:val="000E1D73"/>
    <w:rsid w:val="000F6889"/>
    <w:rsid w:val="00120A0C"/>
    <w:rsid w:val="00127C56"/>
    <w:rsid w:val="00134824"/>
    <w:rsid w:val="001405E5"/>
    <w:rsid w:val="00152361"/>
    <w:rsid w:val="0015603B"/>
    <w:rsid w:val="001564C5"/>
    <w:rsid w:val="001576F2"/>
    <w:rsid w:val="00167558"/>
    <w:rsid w:val="0017491C"/>
    <w:rsid w:val="001825AC"/>
    <w:rsid w:val="001862DF"/>
    <w:rsid w:val="001924CC"/>
    <w:rsid w:val="00196AAA"/>
    <w:rsid w:val="001B4860"/>
    <w:rsid w:val="001F36B0"/>
    <w:rsid w:val="00202638"/>
    <w:rsid w:val="0020649F"/>
    <w:rsid w:val="002177CA"/>
    <w:rsid w:val="00230616"/>
    <w:rsid w:val="00281189"/>
    <w:rsid w:val="00294BC1"/>
    <w:rsid w:val="002A22C3"/>
    <w:rsid w:val="002A2D72"/>
    <w:rsid w:val="002E1F1E"/>
    <w:rsid w:val="002E5874"/>
    <w:rsid w:val="002E653A"/>
    <w:rsid w:val="002E6F42"/>
    <w:rsid w:val="002F2F75"/>
    <w:rsid w:val="002F77DF"/>
    <w:rsid w:val="003627F8"/>
    <w:rsid w:val="00376716"/>
    <w:rsid w:val="003B2429"/>
    <w:rsid w:val="003D4F7D"/>
    <w:rsid w:val="003D756E"/>
    <w:rsid w:val="003F33BC"/>
    <w:rsid w:val="0041338F"/>
    <w:rsid w:val="00420B81"/>
    <w:rsid w:val="004350FF"/>
    <w:rsid w:val="00436027"/>
    <w:rsid w:val="0044354F"/>
    <w:rsid w:val="00446100"/>
    <w:rsid w:val="00451ABB"/>
    <w:rsid w:val="00475289"/>
    <w:rsid w:val="004B0F51"/>
    <w:rsid w:val="004C4250"/>
    <w:rsid w:val="004C70E5"/>
    <w:rsid w:val="004D336C"/>
    <w:rsid w:val="004E41F8"/>
    <w:rsid w:val="004E6FAF"/>
    <w:rsid w:val="00506E0C"/>
    <w:rsid w:val="0051223E"/>
    <w:rsid w:val="005430F2"/>
    <w:rsid w:val="00545142"/>
    <w:rsid w:val="005465C5"/>
    <w:rsid w:val="0055218B"/>
    <w:rsid w:val="00554E13"/>
    <w:rsid w:val="00567796"/>
    <w:rsid w:val="005A3D3B"/>
    <w:rsid w:val="005B3156"/>
    <w:rsid w:val="005B4793"/>
    <w:rsid w:val="005B617A"/>
    <w:rsid w:val="005C00FB"/>
    <w:rsid w:val="005C4958"/>
    <w:rsid w:val="005D5C82"/>
    <w:rsid w:val="005E422D"/>
    <w:rsid w:val="00615A56"/>
    <w:rsid w:val="0062620F"/>
    <w:rsid w:val="006317A2"/>
    <w:rsid w:val="006533C9"/>
    <w:rsid w:val="00670E47"/>
    <w:rsid w:val="0067254A"/>
    <w:rsid w:val="00691025"/>
    <w:rsid w:val="006A42F0"/>
    <w:rsid w:val="006A491E"/>
    <w:rsid w:val="006C6C37"/>
    <w:rsid w:val="006C727F"/>
    <w:rsid w:val="006D6D33"/>
    <w:rsid w:val="006E2EF5"/>
    <w:rsid w:val="006E340F"/>
    <w:rsid w:val="006F4D70"/>
    <w:rsid w:val="007345FC"/>
    <w:rsid w:val="00752467"/>
    <w:rsid w:val="00754BEA"/>
    <w:rsid w:val="00786774"/>
    <w:rsid w:val="00791486"/>
    <w:rsid w:val="007C2017"/>
    <w:rsid w:val="007C4174"/>
    <w:rsid w:val="007C6FE5"/>
    <w:rsid w:val="007D0F28"/>
    <w:rsid w:val="007E1C1D"/>
    <w:rsid w:val="00804C72"/>
    <w:rsid w:val="008103B5"/>
    <w:rsid w:val="00822FE9"/>
    <w:rsid w:val="00826772"/>
    <w:rsid w:val="008321B0"/>
    <w:rsid w:val="00843BE4"/>
    <w:rsid w:val="00853651"/>
    <w:rsid w:val="00863AE9"/>
    <w:rsid w:val="008660C4"/>
    <w:rsid w:val="00866AF0"/>
    <w:rsid w:val="00867BC8"/>
    <w:rsid w:val="00880230"/>
    <w:rsid w:val="008A610D"/>
    <w:rsid w:val="008D558F"/>
    <w:rsid w:val="008D685B"/>
    <w:rsid w:val="008F0A47"/>
    <w:rsid w:val="00917E4D"/>
    <w:rsid w:val="00921C5D"/>
    <w:rsid w:val="00922A8B"/>
    <w:rsid w:val="00924DEC"/>
    <w:rsid w:val="0094269F"/>
    <w:rsid w:val="009437BC"/>
    <w:rsid w:val="00987021"/>
    <w:rsid w:val="009930F3"/>
    <w:rsid w:val="0099454A"/>
    <w:rsid w:val="00997C63"/>
    <w:rsid w:val="009D78D7"/>
    <w:rsid w:val="009E715A"/>
    <w:rsid w:val="009E7981"/>
    <w:rsid w:val="00A01D7D"/>
    <w:rsid w:val="00A14908"/>
    <w:rsid w:val="00A21D2F"/>
    <w:rsid w:val="00A2758C"/>
    <w:rsid w:val="00A470EC"/>
    <w:rsid w:val="00A700FB"/>
    <w:rsid w:val="00A93CC8"/>
    <w:rsid w:val="00A95553"/>
    <w:rsid w:val="00AA47A2"/>
    <w:rsid w:val="00AA66CC"/>
    <w:rsid w:val="00AB2630"/>
    <w:rsid w:val="00AD5C74"/>
    <w:rsid w:val="00AD5ED6"/>
    <w:rsid w:val="00B079DD"/>
    <w:rsid w:val="00B14B5B"/>
    <w:rsid w:val="00B21829"/>
    <w:rsid w:val="00B32025"/>
    <w:rsid w:val="00B37BAF"/>
    <w:rsid w:val="00B574A8"/>
    <w:rsid w:val="00B60725"/>
    <w:rsid w:val="00B61192"/>
    <w:rsid w:val="00B82549"/>
    <w:rsid w:val="00B901A1"/>
    <w:rsid w:val="00BB2BAC"/>
    <w:rsid w:val="00BB5AE8"/>
    <w:rsid w:val="00BD0294"/>
    <w:rsid w:val="00BE11A8"/>
    <w:rsid w:val="00BF2EF3"/>
    <w:rsid w:val="00C2416C"/>
    <w:rsid w:val="00C305FB"/>
    <w:rsid w:val="00C6091B"/>
    <w:rsid w:val="00C71A0A"/>
    <w:rsid w:val="00C92786"/>
    <w:rsid w:val="00CA6854"/>
    <w:rsid w:val="00CC5DA7"/>
    <w:rsid w:val="00CD01D8"/>
    <w:rsid w:val="00CD4C81"/>
    <w:rsid w:val="00D042B1"/>
    <w:rsid w:val="00D07FB3"/>
    <w:rsid w:val="00D23F0E"/>
    <w:rsid w:val="00D60B98"/>
    <w:rsid w:val="00D753D4"/>
    <w:rsid w:val="00D8619C"/>
    <w:rsid w:val="00DC00CD"/>
    <w:rsid w:val="00DC0AA4"/>
    <w:rsid w:val="00DD00D3"/>
    <w:rsid w:val="00DD4857"/>
    <w:rsid w:val="00DE325B"/>
    <w:rsid w:val="00DF0101"/>
    <w:rsid w:val="00DF05AE"/>
    <w:rsid w:val="00DF124C"/>
    <w:rsid w:val="00DF1CDD"/>
    <w:rsid w:val="00E12D6B"/>
    <w:rsid w:val="00E13B93"/>
    <w:rsid w:val="00E2518C"/>
    <w:rsid w:val="00E5474A"/>
    <w:rsid w:val="00E571CA"/>
    <w:rsid w:val="00E57CC5"/>
    <w:rsid w:val="00E6608A"/>
    <w:rsid w:val="00E87BE7"/>
    <w:rsid w:val="00E9508E"/>
    <w:rsid w:val="00EA3DAD"/>
    <w:rsid w:val="00EA422E"/>
    <w:rsid w:val="00EC1813"/>
    <w:rsid w:val="00ED2579"/>
    <w:rsid w:val="00EF7542"/>
    <w:rsid w:val="00F047BD"/>
    <w:rsid w:val="00F15B5C"/>
    <w:rsid w:val="00F353F4"/>
    <w:rsid w:val="00F35E6B"/>
    <w:rsid w:val="00F361D0"/>
    <w:rsid w:val="00F43DA8"/>
    <w:rsid w:val="00F444E1"/>
    <w:rsid w:val="00F60A23"/>
    <w:rsid w:val="00F6242B"/>
    <w:rsid w:val="00F71749"/>
    <w:rsid w:val="00F7290F"/>
    <w:rsid w:val="00F85AEA"/>
    <w:rsid w:val="00F868D4"/>
    <w:rsid w:val="00FC62F3"/>
    <w:rsid w:val="00FE0266"/>
    <w:rsid w:val="00FF60D3"/>
    <w:rsid w:val="00FF6420"/>
    <w:rsid w:val="3FFFFDF6"/>
    <w:rsid w:val="4C4D65A0"/>
    <w:rsid w:val="7BFB9987"/>
    <w:rsid w:val="B35F9645"/>
    <w:rsid w:val="EFDE93AB"/>
    <w:rsid w:val="EFDE9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彩虹粗仿宋" w:cs="Times New Roman"/>
      <w:kern w:val="2"/>
      <w:sz w:val="32"/>
      <w:szCs w:val="24"/>
      <w:lang w:val="en-US" w:eastAsia="zh-CN" w:bidi="ar-SA"/>
    </w:rPr>
  </w:style>
  <w:style w:type="paragraph" w:styleId="2">
    <w:name w:val="heading 1"/>
    <w:basedOn w:val="1"/>
    <w:next w:val="1"/>
    <w:link w:val="20"/>
    <w:qFormat/>
    <w:uiPriority w:val="9"/>
    <w:pPr>
      <w:keepNext/>
      <w:keepLines/>
      <w:numPr>
        <w:ilvl w:val="0"/>
        <w:numId w:val="1"/>
      </w:numPr>
      <w:adjustRightInd w:val="0"/>
      <w:spacing w:line="360" w:lineRule="auto"/>
      <w:textAlignment w:val="baseline"/>
      <w:outlineLvl w:val="0"/>
    </w:pPr>
    <w:rPr>
      <w:rFonts w:eastAsia="宋体" w:cstheme="minorBidi"/>
      <w:b/>
      <w:color w:val="000000"/>
      <w:kern w:val="44"/>
      <w:sz w:val="36"/>
      <w:szCs w:val="22"/>
    </w:rPr>
  </w:style>
  <w:style w:type="paragraph" w:styleId="3">
    <w:name w:val="heading 2"/>
    <w:basedOn w:val="2"/>
    <w:next w:val="1"/>
    <w:link w:val="21"/>
    <w:unhideWhenUsed/>
    <w:qFormat/>
    <w:uiPriority w:val="9"/>
    <w:pPr>
      <w:numPr>
        <w:ilvl w:val="1"/>
      </w:numPr>
      <w:spacing w:before="120" w:after="120"/>
      <w:outlineLvl w:val="1"/>
    </w:pPr>
    <w:rPr>
      <w:b w:val="0"/>
      <w:kern w:val="0"/>
      <w:sz w:val="30"/>
    </w:rPr>
  </w:style>
  <w:style w:type="paragraph" w:styleId="4">
    <w:name w:val="heading 3"/>
    <w:basedOn w:val="1"/>
    <w:next w:val="1"/>
    <w:link w:val="22"/>
    <w:unhideWhenUsed/>
    <w:qFormat/>
    <w:uiPriority w:val="9"/>
    <w:pPr>
      <w:keepNext/>
      <w:keepLines/>
      <w:numPr>
        <w:ilvl w:val="2"/>
        <w:numId w:val="1"/>
      </w:numPr>
      <w:tabs>
        <w:tab w:val="left" w:pos="540"/>
        <w:tab w:val="left" w:pos="720"/>
      </w:tabs>
      <w:spacing w:before="120" w:after="120" w:line="360" w:lineRule="auto"/>
      <w:ind w:left="0"/>
      <w:outlineLvl w:val="2"/>
    </w:pPr>
    <w:rPr>
      <w:rFonts w:eastAsia="宋体" w:cstheme="minorBidi"/>
      <w:b/>
      <w:bCs/>
      <w:sz w:val="28"/>
      <w:szCs w:val="32"/>
    </w:rPr>
  </w:style>
  <w:style w:type="paragraph" w:styleId="5">
    <w:name w:val="heading 4"/>
    <w:basedOn w:val="1"/>
    <w:next w:val="1"/>
    <w:link w:val="23"/>
    <w:semiHidden/>
    <w:unhideWhenUsed/>
    <w:qFormat/>
    <w:uiPriority w:val="9"/>
    <w:pPr>
      <w:numPr>
        <w:ilvl w:val="3"/>
        <w:numId w:val="1"/>
      </w:numPr>
      <w:spacing w:before="120" w:after="120" w:line="360" w:lineRule="auto"/>
      <w:outlineLvl w:val="3"/>
    </w:pPr>
    <w:rPr>
      <w:rFonts w:eastAsia="宋体" w:cstheme="minorBidi"/>
      <w:sz w:val="24"/>
      <w:szCs w:val="28"/>
    </w:rPr>
  </w:style>
  <w:style w:type="paragraph" w:styleId="6">
    <w:name w:val="heading 5"/>
    <w:basedOn w:val="1"/>
    <w:next w:val="1"/>
    <w:link w:val="24"/>
    <w:semiHidden/>
    <w:unhideWhenUsed/>
    <w:qFormat/>
    <w:uiPriority w:val="9"/>
    <w:pPr>
      <w:keepNext/>
      <w:keepLines/>
      <w:numPr>
        <w:ilvl w:val="4"/>
        <w:numId w:val="1"/>
      </w:numPr>
      <w:adjustRightInd w:val="0"/>
      <w:spacing w:before="120" w:after="120" w:line="360" w:lineRule="auto"/>
      <w:textAlignment w:val="baseline"/>
      <w:outlineLvl w:val="4"/>
    </w:pPr>
    <w:rPr>
      <w:rFonts w:eastAsia="宋体"/>
      <w:b/>
      <w:sz w:val="28"/>
      <w:szCs w:val="20"/>
    </w:rPr>
  </w:style>
  <w:style w:type="paragraph" w:styleId="7">
    <w:name w:val="heading 6"/>
    <w:basedOn w:val="1"/>
    <w:next w:val="1"/>
    <w:link w:val="25"/>
    <w:semiHidden/>
    <w:unhideWhenUsed/>
    <w:qFormat/>
    <w:uiPriority w:val="9"/>
    <w:pPr>
      <w:numPr>
        <w:ilvl w:val="5"/>
        <w:numId w:val="1"/>
      </w:numPr>
      <w:tabs>
        <w:tab w:val="left" w:pos="2520"/>
      </w:tabs>
      <w:kinsoku w:val="0"/>
      <w:overflowPunct w:val="0"/>
      <w:autoSpaceDE w:val="0"/>
      <w:autoSpaceDN w:val="0"/>
      <w:spacing w:before="120" w:after="120" w:line="400" w:lineRule="exact"/>
      <w:outlineLvl w:val="5"/>
    </w:pPr>
    <w:rPr>
      <w:rFonts w:eastAsia="宋体" w:cstheme="majorBidi"/>
      <w:b/>
      <w:bCs/>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15"/>
    <w:qFormat/>
    <w:uiPriority w:val="0"/>
    <w:pPr>
      <w:spacing w:line="360" w:lineRule="auto"/>
    </w:pPr>
    <w:rPr>
      <w:rFonts w:eastAsia="宋体" w:cs="宋体"/>
      <w:kern w:val="0"/>
      <w:sz w:val="24"/>
      <w:szCs w:val="22"/>
    </w:rPr>
  </w:style>
  <w:style w:type="paragraph" w:styleId="9">
    <w:name w:val="Balloon Text"/>
    <w:basedOn w:val="1"/>
    <w:link w:val="18"/>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5">
    <w:name w:val="正文文本 Char"/>
    <w:basedOn w:val="14"/>
    <w:link w:val="8"/>
    <w:qFormat/>
    <w:uiPriority w:val="0"/>
    <w:rPr>
      <w:rFonts w:ascii="Times New Roman" w:hAnsi="Times New Roman" w:eastAsia="宋体" w:cs="宋体"/>
      <w:kern w:val="0"/>
      <w:sz w:val="24"/>
    </w:rPr>
  </w:style>
  <w:style w:type="character" w:customStyle="1" w:styleId="16">
    <w:name w:val="页眉 Char"/>
    <w:basedOn w:val="14"/>
    <w:link w:val="11"/>
    <w:qFormat/>
    <w:uiPriority w:val="99"/>
    <w:rPr>
      <w:rFonts w:ascii="Times New Roman" w:hAnsi="Times New Roman" w:eastAsia="彩虹粗仿宋" w:cs="Times New Roman"/>
      <w:sz w:val="18"/>
      <w:szCs w:val="18"/>
    </w:rPr>
  </w:style>
  <w:style w:type="character" w:customStyle="1" w:styleId="17">
    <w:name w:val="页脚 Char"/>
    <w:basedOn w:val="14"/>
    <w:link w:val="10"/>
    <w:qFormat/>
    <w:uiPriority w:val="99"/>
    <w:rPr>
      <w:rFonts w:ascii="Times New Roman" w:hAnsi="Times New Roman" w:eastAsia="彩虹粗仿宋" w:cs="Times New Roman"/>
      <w:sz w:val="18"/>
      <w:szCs w:val="18"/>
    </w:rPr>
  </w:style>
  <w:style w:type="character" w:customStyle="1" w:styleId="18">
    <w:name w:val="批注框文本 Char"/>
    <w:basedOn w:val="14"/>
    <w:link w:val="9"/>
    <w:semiHidden/>
    <w:qFormat/>
    <w:uiPriority w:val="99"/>
    <w:rPr>
      <w:rFonts w:ascii="Times New Roman" w:hAnsi="Times New Roman" w:eastAsia="彩虹粗仿宋" w:cs="Times New Roman"/>
      <w:sz w:val="18"/>
      <w:szCs w:val="18"/>
    </w:rPr>
  </w:style>
  <w:style w:type="paragraph" w:customStyle="1" w:styleId="19">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character" w:customStyle="1" w:styleId="20">
    <w:name w:val="标题 1 Char"/>
    <w:basedOn w:val="14"/>
    <w:link w:val="2"/>
    <w:qFormat/>
    <w:uiPriority w:val="9"/>
    <w:rPr>
      <w:rFonts w:ascii="Times New Roman" w:hAnsi="Times New Roman" w:eastAsia="宋体"/>
      <w:b/>
      <w:color w:val="000000"/>
      <w:kern w:val="44"/>
      <w:sz w:val="36"/>
    </w:rPr>
  </w:style>
  <w:style w:type="character" w:customStyle="1" w:styleId="21">
    <w:name w:val="标题 2 Char"/>
    <w:basedOn w:val="14"/>
    <w:link w:val="3"/>
    <w:qFormat/>
    <w:uiPriority w:val="9"/>
    <w:rPr>
      <w:rFonts w:ascii="Times New Roman" w:hAnsi="Times New Roman" w:eastAsia="宋体"/>
      <w:color w:val="000000"/>
      <w:kern w:val="0"/>
      <w:sz w:val="30"/>
    </w:rPr>
  </w:style>
  <w:style w:type="character" w:customStyle="1" w:styleId="22">
    <w:name w:val="标题 3 Char"/>
    <w:basedOn w:val="14"/>
    <w:link w:val="4"/>
    <w:qFormat/>
    <w:uiPriority w:val="9"/>
    <w:rPr>
      <w:rFonts w:ascii="Times New Roman" w:hAnsi="Times New Roman" w:eastAsia="宋体"/>
      <w:b/>
      <w:bCs/>
      <w:sz w:val="28"/>
      <w:szCs w:val="32"/>
    </w:rPr>
  </w:style>
  <w:style w:type="character" w:customStyle="1" w:styleId="23">
    <w:name w:val="标题 4 Char"/>
    <w:basedOn w:val="14"/>
    <w:link w:val="5"/>
    <w:semiHidden/>
    <w:qFormat/>
    <w:uiPriority w:val="9"/>
    <w:rPr>
      <w:rFonts w:ascii="Times New Roman" w:hAnsi="Times New Roman" w:eastAsia="宋体"/>
      <w:sz w:val="24"/>
      <w:szCs w:val="28"/>
    </w:rPr>
  </w:style>
  <w:style w:type="character" w:customStyle="1" w:styleId="24">
    <w:name w:val="标题 5 Char"/>
    <w:basedOn w:val="14"/>
    <w:link w:val="6"/>
    <w:semiHidden/>
    <w:qFormat/>
    <w:uiPriority w:val="9"/>
    <w:rPr>
      <w:rFonts w:ascii="Times New Roman" w:hAnsi="Times New Roman" w:eastAsia="宋体" w:cs="Times New Roman"/>
      <w:b/>
      <w:sz w:val="28"/>
      <w:szCs w:val="20"/>
    </w:rPr>
  </w:style>
  <w:style w:type="character" w:customStyle="1" w:styleId="25">
    <w:name w:val="标题 6 Char"/>
    <w:basedOn w:val="14"/>
    <w:link w:val="7"/>
    <w:semiHidden/>
    <w:qFormat/>
    <w:uiPriority w:val="9"/>
    <w:rPr>
      <w:rFonts w:ascii="Times New Roman" w:hAnsi="Times New Roman" w:eastAsia="宋体" w:cstheme="majorBidi"/>
      <w:b/>
      <w:bC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Words>
  <Characters>1290</Characters>
  <Lines>10</Lines>
  <Paragraphs>3</Paragraphs>
  <TotalTime>12</TotalTime>
  <ScaleCrop>false</ScaleCrop>
  <LinksUpToDate>false</LinksUpToDate>
  <CharactersWithSpaces>1513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2022-05-07T09:17:00Z</dcterms:created>
  <dc:creator>林鹭苗</dc:creator>
  <cp:lastModifiedBy>Administrator</cp:lastModifiedBy>
  <cp:lastPrinted>2022-07-08T10:10:00Z</cp:lastPrinted>
  <dcterms:modified xsi:type="dcterms:W3CDTF">2024-09-18T02:35:52Z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196AE50E9C0EBEB768F4E4663971874D</vt:lpwstr>
  </property>
</Properties>
</file>