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b/>
          <w:kern w:val="0"/>
          <w:sz w:val="40"/>
          <w:szCs w:val="30"/>
          <w:lang w:val="zh-CN"/>
        </w:rPr>
      </w:pPr>
      <w:r>
        <w:rPr>
          <w:rFonts w:hint="eastAsia" w:ascii="彩虹粗仿宋" w:hAnsi="宋体" w:eastAsia="彩虹粗仿宋"/>
          <w:b/>
          <w:kern w:val="0"/>
          <w:sz w:val="40"/>
          <w:szCs w:val="30"/>
          <w:lang w:val="zh-CN"/>
        </w:rPr>
        <w:t>厦门分行信用卡分期通场景化项目</w:t>
      </w:r>
    </w:p>
    <w:p>
      <w:pPr>
        <w:adjustRightInd w:val="0"/>
        <w:snapToGrid w:val="0"/>
        <w:spacing w:line="360" w:lineRule="auto"/>
        <w:jc w:val="center"/>
        <w:rPr>
          <w:rFonts w:ascii="彩虹粗仿宋" w:hAnsi="宋体" w:eastAsia="彩虹粗仿宋"/>
          <w:b/>
          <w:kern w:val="0"/>
          <w:sz w:val="40"/>
          <w:szCs w:val="30"/>
          <w:lang w:val="zh-CN"/>
        </w:rPr>
      </w:pPr>
      <w:r>
        <w:rPr>
          <w:rFonts w:hint="eastAsia" w:ascii="彩虹粗仿宋" w:hAnsi="宋体" w:eastAsia="彩虹粗仿宋"/>
          <w:b/>
          <w:kern w:val="0"/>
          <w:sz w:val="40"/>
          <w:szCs w:val="30"/>
          <w:lang w:val="zh-CN"/>
        </w:rPr>
        <w:t>采购需求说明书</w:t>
      </w:r>
    </w:p>
    <w:p>
      <w:pPr>
        <w:adjustRightInd w:val="0"/>
        <w:snapToGrid w:val="0"/>
        <w:spacing w:line="360" w:lineRule="auto"/>
        <w:ind w:firstLine="600" w:firstLineChars="200"/>
        <w:rPr>
          <w:rFonts w:ascii="彩虹粗仿宋" w:hAnsi="宋体" w:eastAsia="彩虹粗仿宋"/>
          <w:sz w:val="30"/>
          <w:szCs w:val="30"/>
        </w:rPr>
      </w:pPr>
    </w:p>
    <w:p>
      <w:pPr>
        <w:pStyle w:val="12"/>
        <w:spacing w:before="156" w:beforeLines="50" w:after="156" w:afterLines="50"/>
        <w:ind w:left="1117" w:hanging="1117"/>
        <w:rPr>
          <w:sz w:val="36"/>
        </w:rPr>
      </w:pPr>
      <w:r>
        <w:rPr>
          <w:rFonts w:hint="eastAsia"/>
          <w:sz w:val="36"/>
        </w:rPr>
        <w:t>项目任务内容、范围</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1.1 项目目的</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按</w:t>
      </w:r>
      <w:bookmarkStart w:id="3" w:name="_GoBack"/>
      <w:bookmarkEnd w:id="3"/>
      <w:r>
        <w:rPr>
          <w:rFonts w:hint="eastAsia" w:ascii="彩虹粗仿宋" w:hAnsi="宋体" w:eastAsia="彩虹粗仿宋"/>
          <w:sz w:val="30"/>
          <w:szCs w:val="30"/>
          <w:lang w:val="zh-CN"/>
        </w:rPr>
        <w:t>照总分行一体化方案实现厦门分行信用卡分期通场景化项目。</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1.2 项目现状概述</w:t>
      </w:r>
    </w:p>
    <w:p>
      <w:pPr>
        <w:adjustRightInd w:val="0"/>
        <w:snapToGrid w:val="0"/>
        <w:spacing w:line="360" w:lineRule="auto"/>
        <w:ind w:firstLine="600" w:firstLineChars="200"/>
        <w:rPr>
          <w:rFonts w:ascii="彩虹粗仿宋" w:hAnsi="宋体" w:eastAsia="彩虹粗仿宋"/>
          <w:sz w:val="30"/>
          <w:szCs w:val="30"/>
        </w:rPr>
      </w:pPr>
      <w:r>
        <w:rPr>
          <w:rFonts w:hint="eastAsia" w:ascii="彩虹粗仿宋" w:hAnsi="宋体" w:eastAsia="彩虹粗仿宋"/>
          <w:sz w:val="30"/>
          <w:szCs w:val="30"/>
          <w:lang w:val="zh-CN"/>
        </w:rPr>
        <w:t>标准版分期通采用“总行筛选行内客户白名单、分行邀约办理”的业务模式，随着多年营销，目标数据源重复率偏高、新增客户偏少等问题制约了分期通业务的持续发展。为此我部拟开办分期通特色场景版业务，突破现有标准版产品持续发展的瓶颈。</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1.3 范围概述</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场景版分期通业务申请办理流程与原标准版不同，需在我行信用卡消费信贷系统内新增“分行场景版进件”功能，为此涉及系统开发服务。系统功能开发主要包括信用卡分期通场景版应用端开发和渠道端开发。</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1.4功能范围</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包含本项目内的所有项目功能</w:t>
      </w:r>
      <w:r>
        <w:rPr>
          <w:rFonts w:hint="eastAsia" w:ascii="彩虹粗仿宋" w:hAnsi="宋体" w:eastAsia="彩虹粗仿宋"/>
          <w:sz w:val="30"/>
          <w:szCs w:val="30"/>
          <w:lang w:val="zh-CN"/>
        </w:rPr>
        <w:t>需求。</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1.5 数据范围</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本项目的数据范围包含该项目涉及到的所有数据。</w:t>
      </w:r>
    </w:p>
    <w:p>
      <w:pPr>
        <w:adjustRightInd w:val="0"/>
        <w:snapToGrid w:val="0"/>
        <w:spacing w:line="360" w:lineRule="auto"/>
        <w:ind w:left="560"/>
        <w:outlineLvl w:val="1"/>
        <w:rPr>
          <w:rFonts w:ascii="彩虹粗仿宋" w:hAnsi="宋体" w:eastAsia="彩虹粗仿宋"/>
          <w:b/>
          <w:sz w:val="30"/>
          <w:szCs w:val="30"/>
          <w:lang w:val="zh-CN"/>
        </w:rPr>
      </w:pPr>
      <w:r>
        <w:rPr>
          <w:rFonts w:hint="eastAsia" w:ascii="彩虹粗仿宋" w:hAnsi="宋体" w:eastAsia="彩虹粗仿宋"/>
          <w:b/>
          <w:sz w:val="30"/>
          <w:szCs w:val="30"/>
          <w:lang w:val="zh-CN"/>
        </w:rPr>
        <w:t>1.6 区域/机构范围</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建行厦门市分行</w:t>
      </w:r>
    </w:p>
    <w:p>
      <w:pPr>
        <w:pStyle w:val="12"/>
        <w:spacing w:before="156" w:beforeLines="50" w:after="156" w:afterLines="50"/>
        <w:ind w:left="1117" w:hanging="1117"/>
        <w:rPr>
          <w:sz w:val="36"/>
        </w:rPr>
      </w:pPr>
      <w:r>
        <w:rPr>
          <w:rFonts w:hint="eastAsia"/>
          <w:sz w:val="36"/>
        </w:rPr>
        <w:t>功能需求</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厦门分行信用卡分期通场景化项目将按照总分一体化方案对信用卡业务部提出的信用卡分期通场景化业务需求进行开发，在总行新一代员工渠道等物理子系统的框架下进行部署与开发实施工作,渠道范围可包括但不限于员工渠道(柜面、PAD)，需求范围为本项目所有需求。</w:t>
      </w:r>
      <w:bookmarkStart w:id="0" w:name="_MON_1737544393"/>
      <w:bookmarkEnd w:id="0"/>
      <w:bookmarkStart w:id="1" w:name="_MON_1737552953"/>
      <w:bookmarkEnd w:id="1"/>
      <w:bookmarkStart w:id="2" w:name="_MON_1646136748"/>
      <w:bookmarkEnd w:id="2"/>
    </w:p>
    <w:p>
      <w:pPr>
        <w:adjustRightInd w:val="0"/>
        <w:snapToGrid w:val="0"/>
        <w:spacing w:line="360" w:lineRule="auto"/>
        <w:ind w:firstLine="602" w:firstLineChars="200"/>
        <w:rPr>
          <w:rFonts w:ascii="彩虹粗仿宋" w:hAnsi="宋体" w:eastAsia="彩虹粗仿宋"/>
          <w:b/>
          <w:sz w:val="30"/>
          <w:szCs w:val="30"/>
          <w:lang w:val="zh-CN"/>
        </w:rPr>
      </w:pPr>
      <w:r>
        <w:rPr>
          <w:rFonts w:hint="eastAsia" w:ascii="彩虹粗仿宋" w:hAnsi="宋体" w:eastAsia="彩虹粗仿宋"/>
          <w:b/>
          <w:sz w:val="30"/>
          <w:szCs w:val="30"/>
          <w:lang w:val="zh-CN"/>
        </w:rPr>
        <w:t>具体清单如下：</w:t>
      </w:r>
    </w:p>
    <w:tbl>
      <w:tblPr>
        <w:tblStyle w:val="10"/>
        <w:tblW w:w="8560" w:type="dxa"/>
        <w:tblInd w:w="98" w:type="dxa"/>
        <w:tblLayout w:type="autofit"/>
        <w:tblCellMar>
          <w:top w:w="0" w:type="dxa"/>
          <w:left w:w="108" w:type="dxa"/>
          <w:bottom w:w="0" w:type="dxa"/>
          <w:right w:w="108" w:type="dxa"/>
        </w:tblCellMar>
      </w:tblPr>
      <w:tblGrid>
        <w:gridCol w:w="1140"/>
        <w:gridCol w:w="3080"/>
        <w:gridCol w:w="4340"/>
      </w:tblGrid>
      <w:tr>
        <w:tblPrEx>
          <w:tblCellMar>
            <w:top w:w="0" w:type="dxa"/>
            <w:left w:w="108" w:type="dxa"/>
            <w:bottom w:w="0" w:type="dxa"/>
            <w:right w:w="108" w:type="dxa"/>
          </w:tblCellMar>
        </w:tblPrEx>
        <w:trPr>
          <w:trHeight w:val="1020"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业务需求</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需求项</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需求项内容描述</w:t>
            </w:r>
          </w:p>
        </w:tc>
      </w:tr>
      <w:tr>
        <w:tblPrEx>
          <w:tblCellMar>
            <w:top w:w="0" w:type="dxa"/>
            <w:left w:w="108" w:type="dxa"/>
            <w:bottom w:w="0" w:type="dxa"/>
            <w:right w:w="108" w:type="dxa"/>
          </w:tblCellMar>
        </w:tblPrEx>
        <w:trPr>
          <w:trHeight w:val="870"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厦门分行分期通（社保客群）场景版</w:t>
            </w: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新增分期通厦门分行特色版场景参数</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新增分期通厦门分行特色版场景参数，对手机实名验证功能、人脸识别功能、专项分期额度试算及预授信功能参数进行初始化配置</w:t>
            </w:r>
          </w:p>
        </w:tc>
      </w:tr>
      <w:tr>
        <w:tblPrEx>
          <w:tblCellMar>
            <w:top w:w="0" w:type="dxa"/>
            <w:left w:w="108" w:type="dxa"/>
            <w:bottom w:w="0" w:type="dxa"/>
            <w:right w:w="108" w:type="dxa"/>
          </w:tblCellMar>
        </w:tblPrEx>
        <w:trPr>
          <w:trHeight w:val="87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彩虹粗仿宋" w:hAnsi="彩虹粗仿宋" w:eastAsia="彩虹粗仿宋" w:cs="彩虹粗仿宋"/>
                <w:color w:val="000000"/>
                <w:sz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新增分期通厦门分行特色版预授信策略</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借助本地数据源提供的个人客户社保缴存相关信息，实现分行特色办理模式的即时新增/更新客户分期预授信数据</w:t>
            </w:r>
          </w:p>
        </w:tc>
      </w:tr>
      <w:tr>
        <w:tblPrEx>
          <w:tblCellMar>
            <w:top w:w="0" w:type="dxa"/>
            <w:left w:w="108" w:type="dxa"/>
            <w:bottom w:w="0" w:type="dxa"/>
            <w:right w:w="108" w:type="dxa"/>
          </w:tblCellMar>
        </w:tblPrEx>
        <w:trPr>
          <w:trHeight w:val="116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彩虹粗仿宋" w:hAnsi="彩虹粗仿宋" w:eastAsia="彩虹粗仿宋" w:cs="彩虹粗仿宋"/>
                <w:color w:val="000000"/>
                <w:sz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在分行个人客户员工渠道的分期通申请流程中，新增厦门分行特色场景版申请流程</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分期通新增厦门分行特色版场景，在PAD和柜面渠道展示产品申请入口，进行客户身份识别，申请信息填写，提交申请。</w:t>
            </w:r>
          </w:p>
        </w:tc>
      </w:tr>
      <w:tr>
        <w:tblPrEx>
          <w:tblCellMar>
            <w:top w:w="0" w:type="dxa"/>
            <w:left w:w="108" w:type="dxa"/>
            <w:bottom w:w="0" w:type="dxa"/>
            <w:right w:w="108" w:type="dxa"/>
          </w:tblCellMar>
        </w:tblPrEx>
        <w:trPr>
          <w:trHeight w:val="116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彩虹粗仿宋" w:hAnsi="彩虹粗仿宋" w:eastAsia="彩虹粗仿宋" w:cs="彩虹粗仿宋"/>
                <w:color w:val="000000"/>
                <w:sz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在分行个人客户员工渠道的分期通申请流程中，新增本地社保缴存信息的提交</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在PAD和柜面渠道厦门分行特色版分期通申请流程中，增加社保基数等缴存信息的录入，完成实时预授信后，根据结果要求提供影像件的上传与提交。</w:t>
            </w:r>
          </w:p>
        </w:tc>
      </w:tr>
      <w:tr>
        <w:tblPrEx>
          <w:tblCellMar>
            <w:top w:w="0" w:type="dxa"/>
            <w:left w:w="108" w:type="dxa"/>
            <w:bottom w:w="0" w:type="dxa"/>
            <w:right w:w="108" w:type="dxa"/>
          </w:tblCellMar>
        </w:tblPrEx>
        <w:trPr>
          <w:trHeight w:val="116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彩虹粗仿宋" w:hAnsi="彩虹粗仿宋" w:eastAsia="彩虹粗仿宋" w:cs="彩虹粗仿宋"/>
                <w:color w:val="000000"/>
                <w:sz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在员工渠道分期通审批流程中，新增厦门分行实时预授信以及强制转人工处理</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分期通厦门分行审批强制转人工，征审界面展示实时预授信额度信息；新增分期通厦门分行特色版实时预授信客户筛选与预授信额度计算策略，测额结果与客户信息入MPP库存档并送审批</w:t>
            </w:r>
          </w:p>
        </w:tc>
      </w:tr>
      <w:tr>
        <w:tblPrEx>
          <w:tblCellMar>
            <w:top w:w="0" w:type="dxa"/>
            <w:left w:w="108" w:type="dxa"/>
            <w:bottom w:w="0" w:type="dxa"/>
            <w:right w:w="108" w:type="dxa"/>
          </w:tblCellMar>
        </w:tblPrEx>
        <w:trPr>
          <w:trHeight w:val="87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彩虹粗仿宋" w:hAnsi="彩虹粗仿宋" w:eastAsia="彩虹粗仿宋" w:cs="彩虹粗仿宋"/>
                <w:color w:val="000000"/>
                <w:sz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在分行员工渠道分期通申请流程中，增加分期通补件流程</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在分行PAD、柜面等渠道增加分期通补件界面与流程管控，如补件列表查询处理、补件影像件列表加载处理等</w:t>
            </w:r>
          </w:p>
        </w:tc>
      </w:tr>
      <w:tr>
        <w:tblPrEx>
          <w:tblCellMar>
            <w:top w:w="0" w:type="dxa"/>
            <w:left w:w="108" w:type="dxa"/>
            <w:bottom w:w="0" w:type="dxa"/>
            <w:right w:w="108" w:type="dxa"/>
          </w:tblCellMar>
        </w:tblPrEx>
        <w:trPr>
          <w:trHeight w:val="87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彩虹粗仿宋" w:hAnsi="彩虹粗仿宋" w:eastAsia="彩虹粗仿宋" w:cs="彩虹粗仿宋"/>
                <w:color w:val="000000"/>
                <w:sz w:val="22"/>
              </w:rPr>
            </w:pPr>
          </w:p>
        </w:tc>
        <w:tc>
          <w:tcPr>
            <w:tcW w:w="3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在分行员工渠道分期通申请流程中，增加分期通请款流程</w:t>
            </w:r>
          </w:p>
        </w:tc>
        <w:tc>
          <w:tcPr>
            <w:tcW w:w="4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彩虹粗仿宋" w:hAnsi="彩虹粗仿宋" w:eastAsia="彩虹粗仿宋" w:cs="彩虹粗仿宋"/>
                <w:color w:val="000000"/>
                <w:sz w:val="22"/>
              </w:rPr>
            </w:pPr>
            <w:r>
              <w:rPr>
                <w:rFonts w:hint="eastAsia" w:ascii="彩虹粗仿宋" w:hAnsi="彩虹粗仿宋" w:eastAsia="彩虹粗仿宋" w:cs="彩虹粗仿宋"/>
                <w:color w:val="000000"/>
                <w:kern w:val="0"/>
                <w:sz w:val="22"/>
                <w:lang w:bidi="ar"/>
              </w:rPr>
              <w:t>在分行PAD、柜面等渠道增加分期通请款界面与流程管控，如请款列表查询处理、信息确认处理、请款信息填写处理等</w:t>
            </w:r>
          </w:p>
        </w:tc>
      </w:tr>
    </w:tbl>
    <w:p>
      <w:pPr>
        <w:widowControl/>
      </w:pPr>
    </w:p>
    <w:p>
      <w:pPr>
        <w:pStyle w:val="12"/>
        <w:spacing w:before="156" w:beforeLines="50" w:after="156" w:afterLines="50"/>
        <w:ind w:left="1117" w:hanging="1117"/>
        <w:rPr>
          <w:sz w:val="36"/>
        </w:rPr>
      </w:pPr>
      <w:r>
        <w:rPr>
          <w:rFonts w:hint="eastAsia"/>
          <w:sz w:val="36"/>
        </w:rPr>
        <w:t>供应商资质要求</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供应商应拥有软件行业相关资质，包括ISO9001管理体系认证证书、高新技术企业证书、业务连续性管理体系认证书、ITSS信息技术服务标准符合性证书(运行维护)三级、软件能力成熟度 CMMi5证书、测试成熟度TMMi5证书等。</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供应商应具有自2021年10月1日（以合同签署时间为准，合同双方落款的签署时间不一致的，以后签字一方的签署时间为准，合同协议书没有签署时间的，以合同协议书中约定的合同生效之日为准，合同协议书没有签署时间或生效时间的，不予认定）以来银行业信用卡分期通开发类的合作案例。</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供应商需熟悉建行新一代架构体系，并遵循总分一体化方案完成项目的实施，有能力在建行新一代系统内完成分行场景版分期通产品与流程的建设。</w:t>
      </w:r>
    </w:p>
    <w:p>
      <w:pPr>
        <w:pStyle w:val="12"/>
        <w:spacing w:before="156" w:beforeLines="50" w:after="156" w:afterLines="50"/>
        <w:ind w:left="1117" w:hanging="1117"/>
        <w:rPr>
          <w:sz w:val="36"/>
        </w:rPr>
      </w:pPr>
      <w:r>
        <w:rPr>
          <w:rFonts w:hint="eastAsia"/>
          <w:sz w:val="36"/>
        </w:rPr>
        <w:t>项目的里程碑及生命周期</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签订合同后3个月内完成系统上线。</w:t>
      </w:r>
    </w:p>
    <w:p>
      <w:pPr>
        <w:pStyle w:val="12"/>
        <w:rPr>
          <w:sz w:val="36"/>
        </w:rPr>
      </w:pPr>
      <w:r>
        <w:rPr>
          <w:rFonts w:hint="eastAsia"/>
          <w:sz w:val="36"/>
        </w:rPr>
        <w:t>项目所需资源</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5.1.源代码要求</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提供本项目包含所用到平台在内的所有源代码。</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5.2.文档要求</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按甲方的要求提供文档。</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5.3.应急处理方案</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提供完整可行的应用级应急处理方案，包含系统上线切换应急以及上线后日常应急处理。</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5.4.培训要求</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在上收项目完成后，对相关技术、管理人员及业务人员进行使用培训。使业务人员能够正常操作本系统，技术人员能够对系统常见的问题进行处理。</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5.5.应急处理方案</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提供完整可行的应用级应急处理方案，包含系统上线切换应急以及上线后日常应急处理。</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5.6.项目组织</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项目过程中至少安排4名工作三年以上、参与过两个以上项目、熟悉Tomcat中间件、Mysql数据库、JAVA语言开发和建行新一代系统框架的工程师参与本次项目的开发工作,人员资质应经甲方同意，项目期间发生人员变动须征得甲方同意。</w:t>
      </w:r>
    </w:p>
    <w:p>
      <w:pPr>
        <w:pStyle w:val="12"/>
        <w:spacing w:before="156" w:beforeLines="50" w:after="156" w:afterLines="50"/>
        <w:ind w:left="1117" w:hanging="1117"/>
        <w:rPr>
          <w:sz w:val="36"/>
        </w:rPr>
      </w:pPr>
      <w:r>
        <w:rPr>
          <w:rFonts w:hint="eastAsia"/>
          <w:sz w:val="36"/>
        </w:rPr>
        <w:t>订单验收标准及流程</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在订单上全部功能上线无故障运行十个工作日</w:t>
      </w:r>
      <w:r>
        <w:rPr>
          <w:rFonts w:hint="eastAsia" w:ascii="彩虹粗仿宋" w:hAnsi="宋体" w:eastAsia="彩虹粗仿宋"/>
          <w:sz w:val="30"/>
          <w:szCs w:val="30"/>
          <w:lang w:val="zh-CN"/>
        </w:rPr>
        <w:t>后，可发起验收，验收期不超过1</w:t>
      </w:r>
      <w:r>
        <w:rPr>
          <w:rFonts w:hint="eastAsia" w:ascii="彩虹粗仿宋" w:hAnsi="宋体" w:eastAsia="彩虹粗仿宋"/>
          <w:sz w:val="30"/>
          <w:szCs w:val="30"/>
          <w:lang w:val="zh-CN"/>
        </w:rPr>
        <w:t>个月。</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若甲方对订单验收存在异议，乙方应在3</w:t>
      </w:r>
      <w:r>
        <w:rPr>
          <w:rFonts w:hint="eastAsia" w:ascii="彩虹粗仿宋" w:hAnsi="宋体" w:eastAsia="彩虹粗仿宋"/>
          <w:sz w:val="30"/>
          <w:szCs w:val="30"/>
          <w:lang w:val="zh-CN"/>
        </w:rPr>
        <w:t>个工作日内提出解决方案，并立即组织开发整改。整改完成后由双方重新组织进行验收。</w:t>
      </w:r>
    </w:p>
    <w:p>
      <w:pPr>
        <w:pStyle w:val="12"/>
        <w:spacing w:before="156" w:beforeLines="50" w:after="156" w:afterLines="50"/>
        <w:ind w:left="1117" w:hanging="1117"/>
        <w:rPr>
          <w:sz w:val="36"/>
        </w:rPr>
      </w:pPr>
      <w:r>
        <w:rPr>
          <w:rFonts w:hint="eastAsia"/>
          <w:sz w:val="36"/>
        </w:rPr>
        <w:t>付款方式</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7.1</w:t>
      </w:r>
      <w:r>
        <w:rPr>
          <w:rFonts w:hint="eastAsia" w:ascii="彩虹粗仿宋" w:hAnsi="宋体" w:eastAsia="彩虹粗仿宋"/>
          <w:sz w:val="30"/>
          <w:szCs w:val="30"/>
          <w:lang w:val="zh-CN"/>
        </w:rPr>
        <w:t xml:space="preserve">在甲方每次依约定的付款阶段支付价款前七日内，根据甲方要求开具并交付符合国家规定及厦门建行要求的当次支付金额的发票。 </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 xml:space="preserve">7.2首付款自合同签署生效后，且收到符合要求的发票后十个工作日内甲方向乙方支付合同最高金额的47.5％。 </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7.3</w:t>
      </w:r>
      <w:r>
        <w:rPr>
          <w:rFonts w:hint="eastAsia" w:ascii="彩虹粗仿宋" w:hAnsi="宋体" w:eastAsia="彩虹粗仿宋"/>
          <w:sz w:val="30"/>
          <w:szCs w:val="30"/>
          <w:lang w:val="zh-CN"/>
        </w:rPr>
        <w:t xml:space="preserve">在集成验收合格后，满足合同付款要求且收到符合要求的发票后，且乙方无违约事项，甲方在十个工作日内向乙方支付合同最高金额的47.5％。 </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7.4在集成验收合格并正常运行一年且收到符合要求的发票后，且乙方无违约事项，甲方根据合同将合同最高金额的5%支付给乙方。</w:t>
      </w:r>
    </w:p>
    <w:p>
      <w:pPr>
        <w:pStyle w:val="12"/>
        <w:rPr>
          <w:sz w:val="36"/>
        </w:rPr>
      </w:pPr>
      <w:r>
        <w:rPr>
          <w:rFonts w:hint="eastAsia"/>
          <w:sz w:val="36"/>
        </w:rPr>
        <w:t>售后技术支持</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供应商应提供至少一年的免费维护期，维护期从通过正式验收之日起计算。系统故障分为严重、一般、轻微三个等级，乙方应根据系统故障的不同级别，提供不同的故障响应及解决服务：“严重”为系统无法运行或基本无法运行，或系统重要功能失效或基本失效；“一般”为系统可以运行，但非重要性功能的使用受到限制；“轻微”为其它轻微影响系统使用的故障。</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 xml:space="preserve">乙方应对甲方报告的系统故障做出及时响应： </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对于严重级别故障，乙方应立即派出高级技术人员到现场进行维修，与此同时，乙方技术支持人员应通过电话、网络等方式尝试排除故障；乙方应承诺在收到故障报告后  4   小时内恢复系统正常运行。</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 xml:space="preserve">对于一般级别故障，乙方应立即通过电话、网络等方式尝试排除故障；如故障在  3   </w:t>
      </w:r>
      <w:r>
        <w:rPr>
          <w:rFonts w:hint="eastAsia" w:ascii="彩虹粗仿宋" w:hAnsi="宋体" w:eastAsia="彩虹粗仿宋"/>
          <w:sz w:val="30"/>
          <w:szCs w:val="30"/>
          <w:lang w:val="zh-CN"/>
        </w:rPr>
        <w:t xml:space="preserve">小时内无法排除，乙方应立即派出高级技术人员在   8  </w:t>
      </w:r>
      <w:r>
        <w:rPr>
          <w:rFonts w:hint="eastAsia" w:ascii="彩虹粗仿宋" w:hAnsi="宋体" w:eastAsia="彩虹粗仿宋"/>
          <w:sz w:val="30"/>
          <w:szCs w:val="30"/>
          <w:lang w:val="zh-CN"/>
        </w:rPr>
        <w:t xml:space="preserve">小时内到达故障现场进行维修，乙方应承诺在收到故障报告后  12   </w:t>
      </w:r>
      <w:r>
        <w:rPr>
          <w:rFonts w:hint="eastAsia" w:ascii="彩虹粗仿宋" w:hAnsi="宋体" w:eastAsia="彩虹粗仿宋"/>
          <w:sz w:val="30"/>
          <w:szCs w:val="30"/>
          <w:lang w:val="zh-CN"/>
        </w:rPr>
        <w:t>小时内恢复系统正常运行。</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 xml:space="preserve">对于轻微级别故障，乙方应立即通过电话、网络等方式尝试排除故障；如故障在   4  </w:t>
      </w:r>
      <w:r>
        <w:rPr>
          <w:rFonts w:hint="eastAsia" w:ascii="彩虹粗仿宋" w:hAnsi="宋体" w:eastAsia="彩虹粗仿宋"/>
          <w:sz w:val="30"/>
          <w:szCs w:val="30"/>
          <w:lang w:val="zh-CN"/>
        </w:rPr>
        <w:t xml:space="preserve">小时内无法排除，乙方应在 10  小时内派出技术人员到达故障现场进行维修，乙方应承诺在收到故障报告后  24  </w:t>
      </w:r>
      <w:r>
        <w:rPr>
          <w:rFonts w:hint="eastAsia" w:ascii="彩虹粗仿宋" w:hAnsi="宋体" w:eastAsia="彩虹粗仿宋"/>
          <w:sz w:val="30"/>
          <w:szCs w:val="30"/>
          <w:lang w:val="zh-CN"/>
        </w:rPr>
        <w:t>小时内恢复系统正常运行。</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对于无法现场解决的故障，乙方应当按照甲方要求采取其他补救措施。</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乙方应提供7×24小时的电话、网络等远程支持服务，对甲方在系统使用过程中出现的一般性问题提供咨询解答。</w:t>
      </w:r>
    </w:p>
    <w:p>
      <w:pPr>
        <w:adjustRightInd w:val="0"/>
        <w:snapToGrid w:val="0"/>
        <w:spacing w:line="360" w:lineRule="auto"/>
        <w:ind w:firstLine="600" w:firstLineChars="200"/>
        <w:rPr>
          <w:rFonts w:hint="eastAsia" w:ascii="彩虹粗仿宋" w:hAnsi="宋体" w:eastAsia="彩虹粗仿宋"/>
          <w:sz w:val="30"/>
          <w:szCs w:val="30"/>
          <w:lang w:val="zh-CN"/>
        </w:rPr>
      </w:pPr>
      <w:r>
        <w:rPr>
          <w:rFonts w:hint="eastAsia" w:ascii="彩虹粗仿宋" w:hAnsi="宋体" w:eastAsia="彩虹粗仿宋"/>
          <w:sz w:val="30"/>
          <w:szCs w:val="30"/>
          <w:lang w:val="zh-CN"/>
        </w:rPr>
        <w:t>因为政策性原因，需要对本系统的应用软件进行相应的修改，乙方应在接到厦门建行通知两日内，根据厦门建行的具体时间和实施要求，为厦门建行免费进行相关修改工作。</w:t>
      </w:r>
    </w:p>
    <w:p>
      <w:pPr>
        <w:pStyle w:val="12"/>
        <w:spacing w:before="156" w:beforeLines="50" w:after="156" w:afterLines="50"/>
        <w:ind w:left="1117" w:hanging="1117"/>
        <w:rPr>
          <w:sz w:val="36"/>
        </w:rPr>
      </w:pPr>
      <w:r>
        <w:rPr>
          <w:rFonts w:hint="eastAsia"/>
          <w:sz w:val="36"/>
        </w:rPr>
        <w:t>外包服务约定</w:t>
      </w:r>
    </w:p>
    <w:p>
      <w:pPr>
        <w:adjustRightInd w:val="0"/>
        <w:snapToGrid w:val="0"/>
        <w:spacing w:line="360" w:lineRule="auto"/>
        <w:ind w:firstLine="600" w:firstLineChars="200"/>
        <w:rPr>
          <w:rFonts w:ascii="彩虹粗仿宋" w:hAnsi="宋体" w:eastAsia="彩虹粗仿宋"/>
          <w:sz w:val="30"/>
          <w:szCs w:val="30"/>
          <w:lang w:val="zh-CN"/>
        </w:rPr>
      </w:pPr>
      <w:r>
        <w:rPr>
          <w:rFonts w:hint="eastAsia" w:ascii="彩虹粗仿宋" w:hAnsi="宋体" w:eastAsia="彩虹粗仿宋"/>
          <w:sz w:val="30"/>
          <w:szCs w:val="30"/>
          <w:lang w:val="zh-CN"/>
        </w:rPr>
        <w:t>1</w:t>
      </w:r>
      <w:r>
        <w:rPr>
          <w:rFonts w:hint="eastAsia" w:ascii="彩虹粗仿宋" w:hAnsi="宋体" w:eastAsia="彩虹粗仿宋"/>
          <w:sz w:val="30"/>
          <w:szCs w:val="30"/>
        </w:rPr>
        <w:t>0</w:t>
      </w:r>
      <w:r>
        <w:rPr>
          <w:rFonts w:hint="eastAsia" w:ascii="彩虹粗仿宋" w:hAnsi="宋体" w:eastAsia="彩虹粗仿宋"/>
          <w:sz w:val="30"/>
          <w:szCs w:val="30"/>
          <w:lang w:val="zh-CN"/>
        </w:rPr>
        <w:t>.1 乙方需遵循甲方外包管理相关规定。</w:t>
      </w:r>
    </w:p>
    <w:p>
      <w:pPr>
        <w:pStyle w:val="12"/>
        <w:spacing w:before="156" w:beforeLines="50" w:after="156" w:afterLines="50"/>
        <w:ind w:left="1117" w:hanging="1117"/>
        <w:rPr>
          <w:sz w:val="36"/>
        </w:rPr>
      </w:pPr>
      <w:r>
        <w:rPr>
          <w:rFonts w:hint="eastAsia"/>
          <w:sz w:val="36"/>
        </w:rPr>
        <w:t>其他</w:t>
      </w:r>
    </w:p>
    <w:p>
      <w:pPr>
        <w:adjustRightInd w:val="0"/>
        <w:snapToGrid w:val="0"/>
        <w:spacing w:line="360" w:lineRule="auto"/>
        <w:ind w:firstLine="600" w:firstLineChars="200"/>
        <w:rPr>
          <w:rFonts w:ascii="彩虹粗仿宋" w:hAnsi="宋体" w:eastAsia="彩虹粗仿宋"/>
          <w:sz w:val="30"/>
          <w:szCs w:val="30"/>
        </w:rPr>
      </w:pPr>
      <w:r>
        <w:rPr>
          <w:rFonts w:hint="eastAsia" w:ascii="彩虹粗仿宋" w:hAnsi="宋体" w:eastAsia="彩虹粗仿宋"/>
          <w:sz w:val="30"/>
          <w:szCs w:val="30"/>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641F8"/>
    <w:multiLevelType w:val="multilevel"/>
    <w:tmpl w:val="0D0641F8"/>
    <w:lvl w:ilvl="0" w:tentative="0">
      <w:start w:val="1"/>
      <w:numFmt w:val="decimal"/>
      <w:pStyle w:val="12"/>
      <w:lvlText w:val="第%1章"/>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sz w:val="36"/>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550" w:hanging="420"/>
      </w:pPr>
      <w:rPr>
        <w:rFonts w:hint="eastAsia"/>
      </w:rPr>
    </w:lvl>
    <w:lvl w:ilvl="2" w:tentative="0">
      <w:start w:val="1"/>
      <w:numFmt w:val="lowerRoman"/>
      <w:lvlText w:val="%3."/>
      <w:lvlJc w:val="right"/>
      <w:pPr>
        <w:ind w:left="1970" w:hanging="420"/>
      </w:pPr>
      <w:rPr>
        <w:rFonts w:hint="eastAsia"/>
      </w:rPr>
    </w:lvl>
    <w:lvl w:ilvl="3" w:tentative="0">
      <w:start w:val="1"/>
      <w:numFmt w:val="decimal"/>
      <w:lvlText w:val="%4."/>
      <w:lvlJc w:val="left"/>
      <w:pPr>
        <w:ind w:left="2390" w:hanging="420"/>
      </w:pPr>
      <w:rPr>
        <w:rFonts w:hint="eastAsia"/>
      </w:rPr>
    </w:lvl>
    <w:lvl w:ilvl="4" w:tentative="0">
      <w:start w:val="1"/>
      <w:numFmt w:val="lowerLetter"/>
      <w:lvlText w:val="%5)"/>
      <w:lvlJc w:val="left"/>
      <w:pPr>
        <w:ind w:left="2810" w:hanging="420"/>
      </w:pPr>
      <w:rPr>
        <w:rFonts w:hint="eastAsia"/>
      </w:rPr>
    </w:lvl>
    <w:lvl w:ilvl="5" w:tentative="0">
      <w:start w:val="1"/>
      <w:numFmt w:val="lowerRoman"/>
      <w:lvlText w:val="%6."/>
      <w:lvlJc w:val="right"/>
      <w:pPr>
        <w:ind w:left="3230" w:hanging="420"/>
      </w:pPr>
      <w:rPr>
        <w:rFonts w:hint="eastAsia"/>
      </w:rPr>
    </w:lvl>
    <w:lvl w:ilvl="6" w:tentative="0">
      <w:start w:val="1"/>
      <w:numFmt w:val="decimal"/>
      <w:lvlText w:val="%7."/>
      <w:lvlJc w:val="left"/>
      <w:pPr>
        <w:ind w:left="3650" w:hanging="420"/>
      </w:pPr>
      <w:rPr>
        <w:rFonts w:hint="eastAsia"/>
      </w:rPr>
    </w:lvl>
    <w:lvl w:ilvl="7" w:tentative="0">
      <w:start w:val="1"/>
      <w:numFmt w:val="lowerLetter"/>
      <w:lvlText w:val="%8)"/>
      <w:lvlJc w:val="left"/>
      <w:pPr>
        <w:ind w:left="4070" w:hanging="420"/>
      </w:pPr>
      <w:rPr>
        <w:rFonts w:hint="eastAsia"/>
      </w:rPr>
    </w:lvl>
    <w:lvl w:ilvl="8" w:tentative="0">
      <w:start w:val="1"/>
      <w:numFmt w:val="lowerRoman"/>
      <w:lvlText w:val="%9."/>
      <w:lvlJc w:val="right"/>
      <w:pPr>
        <w:ind w:left="4490" w:hanging="420"/>
      </w:pPr>
      <w:rPr>
        <w:rFonts w:hint="eastAsia"/>
      </w:rPr>
    </w:lvl>
  </w:abstractNum>
  <w:abstractNum w:abstractNumId="1">
    <w:nsid w:val="27E0707A"/>
    <w:multiLevelType w:val="multilevel"/>
    <w:tmpl w:val="27E0707A"/>
    <w:lvl w:ilvl="0" w:tentative="0">
      <w:start w:val="1"/>
      <w:numFmt w:val="decimal"/>
      <w:pStyle w:val="2"/>
      <w:lvlText w:val="%1."/>
      <w:lvlJc w:val="left"/>
      <w:pPr>
        <w:tabs>
          <w:tab w:val="left" w:pos="425"/>
        </w:tabs>
        <w:ind w:left="425" w:hanging="425"/>
      </w:pPr>
      <w:rPr>
        <w:rFonts w:hint="eastAsia"/>
      </w:rPr>
    </w:lvl>
    <w:lvl w:ilvl="1" w:tentative="0">
      <w:start w:val="1"/>
      <w:numFmt w:val="decimal"/>
      <w:pStyle w:val="4"/>
      <w:suff w:val="space"/>
      <w:lvlText w:val="%1.%2"/>
      <w:lvlJc w:val="left"/>
      <w:pPr>
        <w:ind w:left="1418" w:hanging="992"/>
      </w:pPr>
      <w:rPr>
        <w:rFonts w:hint="eastAsia"/>
        <w:b/>
      </w:rPr>
    </w:lvl>
    <w:lvl w:ilvl="2" w:tentative="0">
      <w:start w:val="3"/>
      <w:numFmt w:val="decimal"/>
      <w:pStyle w:val="5"/>
      <w:suff w:val="space"/>
      <w:lvlText w:val="%1.%2.%3"/>
      <w:lvlJc w:val="left"/>
      <w:pPr>
        <w:ind w:left="964" w:hanging="737"/>
      </w:pPr>
      <w:rPr>
        <w:rFonts w:hint="eastAsia"/>
        <w:b/>
        <w:i w:val="0"/>
        <w:color w:val="auto"/>
      </w:rPr>
    </w:lvl>
    <w:lvl w:ilvl="3" w:tentative="0">
      <w:start w:val="1"/>
      <w:numFmt w:val="decimal"/>
      <w:lvlText w:val="%1.%2.%3.%4"/>
      <w:lvlJc w:val="left"/>
      <w:pPr>
        <w:tabs>
          <w:tab w:val="left" w:pos="1021"/>
        </w:tabs>
        <w:ind w:left="340" w:firstLine="0"/>
      </w:pPr>
      <w:rPr>
        <w:rFonts w:hint="eastAsia"/>
        <w:b/>
      </w:rPr>
    </w:lvl>
    <w:lvl w:ilvl="4" w:tentative="0">
      <w:start w:val="1"/>
      <w:numFmt w:val="decimal"/>
      <w:lvlText w:val="%1.%2.%3.%4.%5"/>
      <w:lvlJc w:val="left"/>
      <w:pPr>
        <w:tabs>
          <w:tab w:val="left" w:pos="1134"/>
        </w:tabs>
        <w:ind w:left="284" w:firstLine="340"/>
      </w:pPr>
      <w:rPr>
        <w:rFonts w:hint="eastAsia"/>
        <w:b/>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FA"/>
    <w:rsid w:val="000014DC"/>
    <w:rsid w:val="00011614"/>
    <w:rsid w:val="00020B75"/>
    <w:rsid w:val="0002163D"/>
    <w:rsid w:val="00024E13"/>
    <w:rsid w:val="00036005"/>
    <w:rsid w:val="00041156"/>
    <w:rsid w:val="00047E54"/>
    <w:rsid w:val="00052C65"/>
    <w:rsid w:val="00056917"/>
    <w:rsid w:val="0007381F"/>
    <w:rsid w:val="000756B7"/>
    <w:rsid w:val="00075AD4"/>
    <w:rsid w:val="000864B8"/>
    <w:rsid w:val="00090629"/>
    <w:rsid w:val="000A5FFF"/>
    <w:rsid w:val="000B0675"/>
    <w:rsid w:val="000D0DB0"/>
    <w:rsid w:val="000D193D"/>
    <w:rsid w:val="000D7627"/>
    <w:rsid w:val="000E6285"/>
    <w:rsid w:val="000E6EEE"/>
    <w:rsid w:val="000E7DC1"/>
    <w:rsid w:val="000F17D8"/>
    <w:rsid w:val="000F38D8"/>
    <w:rsid w:val="000F4274"/>
    <w:rsid w:val="00106790"/>
    <w:rsid w:val="00115760"/>
    <w:rsid w:val="00115F82"/>
    <w:rsid w:val="00117FAD"/>
    <w:rsid w:val="001262CA"/>
    <w:rsid w:val="00136E1C"/>
    <w:rsid w:val="001373D3"/>
    <w:rsid w:val="001440D2"/>
    <w:rsid w:val="001731DA"/>
    <w:rsid w:val="00173C83"/>
    <w:rsid w:val="001765D2"/>
    <w:rsid w:val="00184AB0"/>
    <w:rsid w:val="00193242"/>
    <w:rsid w:val="00197437"/>
    <w:rsid w:val="001A63EC"/>
    <w:rsid w:val="001B1E4B"/>
    <w:rsid w:val="001C11F2"/>
    <w:rsid w:val="001D319B"/>
    <w:rsid w:val="001D34EC"/>
    <w:rsid w:val="001D6152"/>
    <w:rsid w:val="001F510C"/>
    <w:rsid w:val="001F5A96"/>
    <w:rsid w:val="001F7518"/>
    <w:rsid w:val="00205698"/>
    <w:rsid w:val="002266C3"/>
    <w:rsid w:val="00250F5E"/>
    <w:rsid w:val="0026092D"/>
    <w:rsid w:val="00264542"/>
    <w:rsid w:val="00272DC5"/>
    <w:rsid w:val="00273F33"/>
    <w:rsid w:val="0028149B"/>
    <w:rsid w:val="002867BB"/>
    <w:rsid w:val="002867D2"/>
    <w:rsid w:val="0029787C"/>
    <w:rsid w:val="002A3D8E"/>
    <w:rsid w:val="002B3383"/>
    <w:rsid w:val="002B4EFF"/>
    <w:rsid w:val="002C486F"/>
    <w:rsid w:val="002C7C36"/>
    <w:rsid w:val="002C7E87"/>
    <w:rsid w:val="002D386A"/>
    <w:rsid w:val="002F5127"/>
    <w:rsid w:val="00311B4C"/>
    <w:rsid w:val="003131F3"/>
    <w:rsid w:val="00313CA2"/>
    <w:rsid w:val="0031756E"/>
    <w:rsid w:val="0032125A"/>
    <w:rsid w:val="00327182"/>
    <w:rsid w:val="00327E79"/>
    <w:rsid w:val="00330828"/>
    <w:rsid w:val="00335AE2"/>
    <w:rsid w:val="003376ED"/>
    <w:rsid w:val="0035352E"/>
    <w:rsid w:val="00357456"/>
    <w:rsid w:val="00360169"/>
    <w:rsid w:val="00365599"/>
    <w:rsid w:val="00373C83"/>
    <w:rsid w:val="00383BA0"/>
    <w:rsid w:val="003859B6"/>
    <w:rsid w:val="003925F7"/>
    <w:rsid w:val="003A0F51"/>
    <w:rsid w:val="003A46C7"/>
    <w:rsid w:val="003A75D7"/>
    <w:rsid w:val="003C6DC3"/>
    <w:rsid w:val="003E2260"/>
    <w:rsid w:val="003F5B19"/>
    <w:rsid w:val="003F5B4D"/>
    <w:rsid w:val="00400CD6"/>
    <w:rsid w:val="00422F43"/>
    <w:rsid w:val="00454068"/>
    <w:rsid w:val="00454CDF"/>
    <w:rsid w:val="004678FA"/>
    <w:rsid w:val="004819AF"/>
    <w:rsid w:val="00490A08"/>
    <w:rsid w:val="004971C4"/>
    <w:rsid w:val="004973A8"/>
    <w:rsid w:val="004A77EA"/>
    <w:rsid w:val="004C4892"/>
    <w:rsid w:val="004C7D1D"/>
    <w:rsid w:val="004D0C3B"/>
    <w:rsid w:val="004D7AA2"/>
    <w:rsid w:val="004F2B0B"/>
    <w:rsid w:val="004F6787"/>
    <w:rsid w:val="00503B41"/>
    <w:rsid w:val="00504B4D"/>
    <w:rsid w:val="00511E59"/>
    <w:rsid w:val="00514AE6"/>
    <w:rsid w:val="00521829"/>
    <w:rsid w:val="0053021C"/>
    <w:rsid w:val="005422F9"/>
    <w:rsid w:val="00546EF5"/>
    <w:rsid w:val="00555187"/>
    <w:rsid w:val="0055596F"/>
    <w:rsid w:val="0055747E"/>
    <w:rsid w:val="005645EB"/>
    <w:rsid w:val="00565E5E"/>
    <w:rsid w:val="00567131"/>
    <w:rsid w:val="005723A8"/>
    <w:rsid w:val="00594BB2"/>
    <w:rsid w:val="0059669C"/>
    <w:rsid w:val="005A29D7"/>
    <w:rsid w:val="005A3AB4"/>
    <w:rsid w:val="005C4E82"/>
    <w:rsid w:val="005E1523"/>
    <w:rsid w:val="005E42EE"/>
    <w:rsid w:val="005E439B"/>
    <w:rsid w:val="005F0CC2"/>
    <w:rsid w:val="005F17F7"/>
    <w:rsid w:val="00603437"/>
    <w:rsid w:val="00606BBB"/>
    <w:rsid w:val="006135D6"/>
    <w:rsid w:val="00613B57"/>
    <w:rsid w:val="0062386B"/>
    <w:rsid w:val="00637FE6"/>
    <w:rsid w:val="006405A3"/>
    <w:rsid w:val="006466F3"/>
    <w:rsid w:val="00647384"/>
    <w:rsid w:val="0065056A"/>
    <w:rsid w:val="00653305"/>
    <w:rsid w:val="006659BF"/>
    <w:rsid w:val="00665C49"/>
    <w:rsid w:val="00665D85"/>
    <w:rsid w:val="00671400"/>
    <w:rsid w:val="00672238"/>
    <w:rsid w:val="006722A7"/>
    <w:rsid w:val="006747F3"/>
    <w:rsid w:val="00690BB3"/>
    <w:rsid w:val="006A3185"/>
    <w:rsid w:val="006B4203"/>
    <w:rsid w:val="006B7310"/>
    <w:rsid w:val="006B74E1"/>
    <w:rsid w:val="006D34A4"/>
    <w:rsid w:val="006E0557"/>
    <w:rsid w:val="006E4DA7"/>
    <w:rsid w:val="006F3D09"/>
    <w:rsid w:val="006F783E"/>
    <w:rsid w:val="00702A19"/>
    <w:rsid w:val="007035A7"/>
    <w:rsid w:val="007142AC"/>
    <w:rsid w:val="00725D6B"/>
    <w:rsid w:val="00727101"/>
    <w:rsid w:val="007533DB"/>
    <w:rsid w:val="007748C4"/>
    <w:rsid w:val="0078424D"/>
    <w:rsid w:val="00785F3E"/>
    <w:rsid w:val="007872C0"/>
    <w:rsid w:val="00787919"/>
    <w:rsid w:val="007A100A"/>
    <w:rsid w:val="007A428F"/>
    <w:rsid w:val="007B2BD8"/>
    <w:rsid w:val="007B738F"/>
    <w:rsid w:val="007C07CD"/>
    <w:rsid w:val="007C1CFB"/>
    <w:rsid w:val="007C3659"/>
    <w:rsid w:val="007C39AD"/>
    <w:rsid w:val="007C3FA2"/>
    <w:rsid w:val="007C4898"/>
    <w:rsid w:val="007C7182"/>
    <w:rsid w:val="007F4BA2"/>
    <w:rsid w:val="007F5110"/>
    <w:rsid w:val="007F71AB"/>
    <w:rsid w:val="0080510C"/>
    <w:rsid w:val="008176CD"/>
    <w:rsid w:val="00823B27"/>
    <w:rsid w:val="008346AC"/>
    <w:rsid w:val="00834B95"/>
    <w:rsid w:val="00837AF8"/>
    <w:rsid w:val="00837FDD"/>
    <w:rsid w:val="008701B6"/>
    <w:rsid w:val="008805BD"/>
    <w:rsid w:val="00880D5D"/>
    <w:rsid w:val="0088163F"/>
    <w:rsid w:val="008A5460"/>
    <w:rsid w:val="008B683E"/>
    <w:rsid w:val="008D69F6"/>
    <w:rsid w:val="008D7525"/>
    <w:rsid w:val="008E1F04"/>
    <w:rsid w:val="0090094F"/>
    <w:rsid w:val="009043EF"/>
    <w:rsid w:val="0090573B"/>
    <w:rsid w:val="009115E6"/>
    <w:rsid w:val="009308B5"/>
    <w:rsid w:val="00930EA7"/>
    <w:rsid w:val="0094642F"/>
    <w:rsid w:val="00951CC2"/>
    <w:rsid w:val="009564A3"/>
    <w:rsid w:val="00956768"/>
    <w:rsid w:val="0096570F"/>
    <w:rsid w:val="00970CB8"/>
    <w:rsid w:val="00971CDD"/>
    <w:rsid w:val="00972D39"/>
    <w:rsid w:val="00976292"/>
    <w:rsid w:val="0097670F"/>
    <w:rsid w:val="0098257D"/>
    <w:rsid w:val="0098274E"/>
    <w:rsid w:val="0099080B"/>
    <w:rsid w:val="0099287E"/>
    <w:rsid w:val="009937CF"/>
    <w:rsid w:val="009A1405"/>
    <w:rsid w:val="009A5863"/>
    <w:rsid w:val="009B564E"/>
    <w:rsid w:val="009B7B8F"/>
    <w:rsid w:val="009D1F7C"/>
    <w:rsid w:val="009E2EDB"/>
    <w:rsid w:val="009F6528"/>
    <w:rsid w:val="00A12FE8"/>
    <w:rsid w:val="00A16B97"/>
    <w:rsid w:val="00A21175"/>
    <w:rsid w:val="00A247CC"/>
    <w:rsid w:val="00A4061C"/>
    <w:rsid w:val="00A5013D"/>
    <w:rsid w:val="00A51939"/>
    <w:rsid w:val="00A65883"/>
    <w:rsid w:val="00A728FE"/>
    <w:rsid w:val="00A9188B"/>
    <w:rsid w:val="00A93417"/>
    <w:rsid w:val="00AC2BE7"/>
    <w:rsid w:val="00AD0AE0"/>
    <w:rsid w:val="00AD4157"/>
    <w:rsid w:val="00AD6B28"/>
    <w:rsid w:val="00AE4FB8"/>
    <w:rsid w:val="00AF0B24"/>
    <w:rsid w:val="00AF584F"/>
    <w:rsid w:val="00B108A4"/>
    <w:rsid w:val="00B11C54"/>
    <w:rsid w:val="00B12CE9"/>
    <w:rsid w:val="00B26628"/>
    <w:rsid w:val="00B3605A"/>
    <w:rsid w:val="00B40BCA"/>
    <w:rsid w:val="00B43123"/>
    <w:rsid w:val="00B44B93"/>
    <w:rsid w:val="00B46EEC"/>
    <w:rsid w:val="00B56FDA"/>
    <w:rsid w:val="00B57535"/>
    <w:rsid w:val="00B60458"/>
    <w:rsid w:val="00B62531"/>
    <w:rsid w:val="00B65F53"/>
    <w:rsid w:val="00B67796"/>
    <w:rsid w:val="00B72482"/>
    <w:rsid w:val="00B742D0"/>
    <w:rsid w:val="00B83EB9"/>
    <w:rsid w:val="00B877C1"/>
    <w:rsid w:val="00B9007C"/>
    <w:rsid w:val="00B9154A"/>
    <w:rsid w:val="00B97AC1"/>
    <w:rsid w:val="00BA699D"/>
    <w:rsid w:val="00BB4C75"/>
    <w:rsid w:val="00BB75E9"/>
    <w:rsid w:val="00BC434C"/>
    <w:rsid w:val="00BC4D27"/>
    <w:rsid w:val="00BC6010"/>
    <w:rsid w:val="00BE3059"/>
    <w:rsid w:val="00BE3667"/>
    <w:rsid w:val="00BE4DAF"/>
    <w:rsid w:val="00BE6918"/>
    <w:rsid w:val="00C01871"/>
    <w:rsid w:val="00C120EF"/>
    <w:rsid w:val="00C35232"/>
    <w:rsid w:val="00C457C9"/>
    <w:rsid w:val="00C50E6E"/>
    <w:rsid w:val="00C604BB"/>
    <w:rsid w:val="00C611AA"/>
    <w:rsid w:val="00C61C5A"/>
    <w:rsid w:val="00C66599"/>
    <w:rsid w:val="00C66DF2"/>
    <w:rsid w:val="00C726C5"/>
    <w:rsid w:val="00C74261"/>
    <w:rsid w:val="00C752EE"/>
    <w:rsid w:val="00C77391"/>
    <w:rsid w:val="00CA4B3C"/>
    <w:rsid w:val="00CB0BE9"/>
    <w:rsid w:val="00CB24BE"/>
    <w:rsid w:val="00CC2BA3"/>
    <w:rsid w:val="00CC2E49"/>
    <w:rsid w:val="00CD0B86"/>
    <w:rsid w:val="00CD1DCF"/>
    <w:rsid w:val="00CE3D67"/>
    <w:rsid w:val="00CE4563"/>
    <w:rsid w:val="00CF21A8"/>
    <w:rsid w:val="00D0249A"/>
    <w:rsid w:val="00D07AD1"/>
    <w:rsid w:val="00D23E11"/>
    <w:rsid w:val="00D36653"/>
    <w:rsid w:val="00D40004"/>
    <w:rsid w:val="00D4145B"/>
    <w:rsid w:val="00D41EA7"/>
    <w:rsid w:val="00D50902"/>
    <w:rsid w:val="00D5233F"/>
    <w:rsid w:val="00D726A7"/>
    <w:rsid w:val="00D87909"/>
    <w:rsid w:val="00DA4E45"/>
    <w:rsid w:val="00DC2E9E"/>
    <w:rsid w:val="00DD1D03"/>
    <w:rsid w:val="00DE22E0"/>
    <w:rsid w:val="00DF2395"/>
    <w:rsid w:val="00DF5B70"/>
    <w:rsid w:val="00E053B7"/>
    <w:rsid w:val="00E13FA8"/>
    <w:rsid w:val="00E15384"/>
    <w:rsid w:val="00E36E44"/>
    <w:rsid w:val="00E45D6A"/>
    <w:rsid w:val="00E712BF"/>
    <w:rsid w:val="00E74B96"/>
    <w:rsid w:val="00E80862"/>
    <w:rsid w:val="00E831AE"/>
    <w:rsid w:val="00E94BF4"/>
    <w:rsid w:val="00E97D03"/>
    <w:rsid w:val="00E97DC5"/>
    <w:rsid w:val="00EA0B2B"/>
    <w:rsid w:val="00EB47F8"/>
    <w:rsid w:val="00EB7516"/>
    <w:rsid w:val="00EC1D3E"/>
    <w:rsid w:val="00EC5176"/>
    <w:rsid w:val="00ED5810"/>
    <w:rsid w:val="00ED5C11"/>
    <w:rsid w:val="00ED77B6"/>
    <w:rsid w:val="00F063EA"/>
    <w:rsid w:val="00F102D1"/>
    <w:rsid w:val="00F15ACE"/>
    <w:rsid w:val="00F17593"/>
    <w:rsid w:val="00F20B4C"/>
    <w:rsid w:val="00F33302"/>
    <w:rsid w:val="00F53436"/>
    <w:rsid w:val="00F6658A"/>
    <w:rsid w:val="00F67DCC"/>
    <w:rsid w:val="00F71362"/>
    <w:rsid w:val="00F752B5"/>
    <w:rsid w:val="00F802C4"/>
    <w:rsid w:val="00F82B92"/>
    <w:rsid w:val="00F90992"/>
    <w:rsid w:val="00FA2361"/>
    <w:rsid w:val="00FA24BE"/>
    <w:rsid w:val="00FB12DF"/>
    <w:rsid w:val="00FB685E"/>
    <w:rsid w:val="00FD3D8D"/>
    <w:rsid w:val="00FD6A7A"/>
    <w:rsid w:val="00FD7455"/>
    <w:rsid w:val="00FE129B"/>
    <w:rsid w:val="00FE549A"/>
    <w:rsid w:val="00FF1D26"/>
    <w:rsid w:val="00FF269B"/>
    <w:rsid w:val="0FDB80BD"/>
    <w:rsid w:val="1FFDA89C"/>
    <w:rsid w:val="2A2E6A16"/>
    <w:rsid w:val="3CF528CD"/>
    <w:rsid w:val="3EEF9BBF"/>
    <w:rsid w:val="3FFF1428"/>
    <w:rsid w:val="4137518A"/>
    <w:rsid w:val="57ED9427"/>
    <w:rsid w:val="5AFF4F93"/>
    <w:rsid w:val="5BCF9115"/>
    <w:rsid w:val="5D77E2FC"/>
    <w:rsid w:val="61D7EAE1"/>
    <w:rsid w:val="67323A8B"/>
    <w:rsid w:val="6D7C7E22"/>
    <w:rsid w:val="6DDA33EF"/>
    <w:rsid w:val="76D7D377"/>
    <w:rsid w:val="776F49FB"/>
    <w:rsid w:val="7AFB4C09"/>
    <w:rsid w:val="7B1ED84C"/>
    <w:rsid w:val="7DBF047E"/>
    <w:rsid w:val="7E5F6670"/>
    <w:rsid w:val="7E9DED26"/>
    <w:rsid w:val="7EF5B378"/>
    <w:rsid w:val="7EFDB4F1"/>
    <w:rsid w:val="7FE7BCB3"/>
    <w:rsid w:val="7FED1D14"/>
    <w:rsid w:val="7FFE786C"/>
    <w:rsid w:val="B3F6E058"/>
    <w:rsid w:val="B6DB5E75"/>
    <w:rsid w:val="B6FB9995"/>
    <w:rsid w:val="BE8E8C56"/>
    <w:rsid w:val="BEEF4F7B"/>
    <w:rsid w:val="DFBFEEB0"/>
    <w:rsid w:val="E7FAAABF"/>
    <w:rsid w:val="ECBC9160"/>
    <w:rsid w:val="ECFF0668"/>
    <w:rsid w:val="EF7D04FF"/>
    <w:rsid w:val="EFDAD582"/>
    <w:rsid w:val="F59552AF"/>
    <w:rsid w:val="F6F52966"/>
    <w:rsid w:val="F6F978B6"/>
    <w:rsid w:val="F7E7E611"/>
    <w:rsid w:val="F9DFFE57"/>
    <w:rsid w:val="FBC9914F"/>
    <w:rsid w:val="FDEFB7CD"/>
    <w:rsid w:val="FDF7D067"/>
    <w:rsid w:val="FEFD81AD"/>
    <w:rsid w:val="FF9D891C"/>
    <w:rsid w:val="FFDA057A"/>
    <w:rsid w:val="FFDB9284"/>
    <w:rsid w:val="FFFFD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3"/>
    <w:qFormat/>
    <w:uiPriority w:val="0"/>
    <w:pPr>
      <w:keepNext/>
      <w:keepLines/>
      <w:pageBreakBefore/>
      <w:numPr>
        <w:ilvl w:val="0"/>
        <w:numId w:val="1"/>
      </w:numPr>
      <w:spacing w:before="200" w:beforeLines="200" w:after="100" w:afterLines="100"/>
      <w:outlineLvl w:val="0"/>
    </w:pPr>
    <w:rPr>
      <w:rFonts w:ascii="Times New Roman" w:hAnsi="Times New Roman" w:eastAsia="宋体" w:cs="Times New Roman"/>
      <w:b/>
      <w:kern w:val="28"/>
      <w:sz w:val="36"/>
      <w:szCs w:val="24"/>
    </w:rPr>
  </w:style>
  <w:style w:type="paragraph" w:styleId="4">
    <w:name w:val="heading 2"/>
    <w:basedOn w:val="1"/>
    <w:next w:val="3"/>
    <w:link w:val="14"/>
    <w:qFormat/>
    <w:uiPriority w:val="0"/>
    <w:pPr>
      <w:keepNext/>
      <w:numPr>
        <w:ilvl w:val="1"/>
        <w:numId w:val="1"/>
      </w:numPr>
      <w:tabs>
        <w:tab w:val="left" w:pos="425"/>
      </w:tabs>
      <w:spacing w:before="200" w:beforeLines="200" w:after="100" w:afterLines="100"/>
      <w:outlineLvl w:val="1"/>
    </w:pPr>
    <w:rPr>
      <w:rFonts w:ascii="Times New Roman" w:hAnsi="Times New Roman" w:eastAsia="宋体" w:cs="Times New Roman"/>
      <w:b/>
      <w:sz w:val="32"/>
      <w:szCs w:val="24"/>
    </w:rPr>
  </w:style>
  <w:style w:type="paragraph" w:styleId="5">
    <w:name w:val="heading 3"/>
    <w:basedOn w:val="1"/>
    <w:next w:val="3"/>
    <w:link w:val="15"/>
    <w:qFormat/>
    <w:uiPriority w:val="0"/>
    <w:pPr>
      <w:keepNext/>
      <w:numPr>
        <w:ilvl w:val="2"/>
        <w:numId w:val="1"/>
      </w:numPr>
      <w:spacing w:before="425" w:beforeLines="20" w:after="113" w:afterLines="20"/>
      <w:outlineLvl w:val="2"/>
    </w:pPr>
    <w:rPr>
      <w:rFonts w:ascii="Times New Roman" w:hAnsi="Times New Roman" w:eastAsia="宋体" w:cs="Times New Roman"/>
      <w:b/>
      <w:i/>
      <w:sz w:val="28"/>
      <w:szCs w:val="24"/>
    </w:rPr>
  </w:style>
  <w:style w:type="paragraph" w:styleId="6">
    <w:name w:val="heading 4"/>
    <w:basedOn w:val="1"/>
    <w:next w:val="1"/>
    <w:link w:val="1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0"/>
    <w:pPr>
      <w:widowControl/>
      <w:spacing w:after="120"/>
      <w:jc w:val="left"/>
    </w:pPr>
    <w:rPr>
      <w:rFonts w:ascii="Times New Roman" w:hAnsi="Times New Roman" w:eastAsia="宋体" w:cs="Times New Roman"/>
      <w:kern w:val="0"/>
      <w:sz w:val="24"/>
      <w:szCs w:val="20"/>
    </w:rPr>
  </w:style>
  <w:style w:type="paragraph" w:styleId="7">
    <w:name w:val="Normal Indent"/>
    <w:basedOn w:val="1"/>
    <w:link w:val="17"/>
    <w:qFormat/>
    <w:uiPriority w:val="99"/>
    <w:pPr>
      <w:ind w:firstLine="420" w:firstLineChars="200"/>
    </w:pPr>
    <w:rPr>
      <w:rFonts w:ascii="Times New Roman" w:hAnsi="Times New Roman" w:eastAsia="宋体" w:cs="Times New Roman"/>
      <w:szCs w:val="24"/>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34"/>
    <w:pPr>
      <w:numPr>
        <w:ilvl w:val="0"/>
        <w:numId w:val="2"/>
      </w:numPr>
      <w:adjustRightInd w:val="0"/>
      <w:snapToGrid w:val="0"/>
      <w:spacing w:line="360" w:lineRule="auto"/>
      <w:outlineLvl w:val="0"/>
    </w:pPr>
    <w:rPr>
      <w:rFonts w:ascii="彩虹粗仿宋" w:hAnsi="宋体" w:eastAsia="彩虹粗仿宋"/>
      <w:b/>
      <w:sz w:val="30"/>
      <w:szCs w:val="30"/>
    </w:rPr>
  </w:style>
  <w:style w:type="character" w:customStyle="1" w:styleId="13">
    <w:name w:val="标题 1 Char"/>
    <w:basedOn w:val="11"/>
    <w:link w:val="2"/>
    <w:qFormat/>
    <w:uiPriority w:val="0"/>
    <w:rPr>
      <w:rFonts w:ascii="Times New Roman" w:hAnsi="Times New Roman" w:eastAsia="宋体" w:cs="Times New Roman"/>
      <w:b/>
      <w:kern w:val="28"/>
      <w:sz w:val="36"/>
      <w:szCs w:val="24"/>
    </w:rPr>
  </w:style>
  <w:style w:type="character" w:customStyle="1" w:styleId="14">
    <w:name w:val="标题 2 Char"/>
    <w:basedOn w:val="11"/>
    <w:link w:val="4"/>
    <w:qFormat/>
    <w:uiPriority w:val="0"/>
    <w:rPr>
      <w:b/>
      <w:kern w:val="2"/>
      <w:sz w:val="32"/>
      <w:szCs w:val="24"/>
    </w:rPr>
  </w:style>
  <w:style w:type="character" w:customStyle="1" w:styleId="15">
    <w:name w:val="标题 3 Char"/>
    <w:basedOn w:val="11"/>
    <w:link w:val="5"/>
    <w:qFormat/>
    <w:uiPriority w:val="0"/>
    <w:rPr>
      <w:rFonts w:ascii="Times New Roman" w:hAnsi="Times New Roman" w:eastAsia="宋体" w:cs="Times New Roman"/>
      <w:b/>
      <w:i/>
      <w:sz w:val="28"/>
      <w:szCs w:val="24"/>
    </w:rPr>
  </w:style>
  <w:style w:type="character" w:customStyle="1" w:styleId="16">
    <w:name w:val="正文文本 Char"/>
    <w:basedOn w:val="11"/>
    <w:link w:val="3"/>
    <w:qFormat/>
    <w:uiPriority w:val="0"/>
    <w:rPr>
      <w:rFonts w:ascii="Times New Roman" w:hAnsi="Times New Roman" w:eastAsia="宋体" w:cs="Times New Roman"/>
      <w:kern w:val="0"/>
      <w:sz w:val="24"/>
      <w:szCs w:val="20"/>
    </w:rPr>
  </w:style>
  <w:style w:type="character" w:customStyle="1" w:styleId="17">
    <w:name w:val="正文缩进 Char"/>
    <w:link w:val="7"/>
    <w:qFormat/>
    <w:uiPriority w:val="99"/>
    <w:rPr>
      <w:rFonts w:ascii="Times New Roman" w:hAnsi="Times New Roman" w:eastAsia="宋体" w:cs="Times New Roman"/>
      <w:szCs w:val="24"/>
    </w:rPr>
  </w:style>
  <w:style w:type="character" w:customStyle="1" w:styleId="18">
    <w:name w:val="标题 4 Char"/>
    <w:basedOn w:val="11"/>
    <w:link w:val="6"/>
    <w:qFormat/>
    <w:uiPriority w:val="9"/>
    <w:rPr>
      <w:rFonts w:asciiTheme="majorHAnsi" w:hAnsiTheme="majorHAnsi" w:eastAsiaTheme="majorEastAsia" w:cstheme="majorBidi"/>
      <w:b/>
      <w:bCs/>
      <w:sz w:val="28"/>
      <w:szCs w:val="28"/>
    </w:rPr>
  </w:style>
  <w:style w:type="character" w:customStyle="1" w:styleId="19">
    <w:name w:val="页眉 Char"/>
    <w:basedOn w:val="11"/>
    <w:link w:val="9"/>
    <w:qFormat/>
    <w:uiPriority w:val="99"/>
    <w:rPr>
      <w:sz w:val="18"/>
      <w:szCs w:val="18"/>
    </w:rPr>
  </w:style>
  <w:style w:type="character" w:customStyle="1" w:styleId="20">
    <w:name w:val="页脚 Char"/>
    <w:basedOn w:val="11"/>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439</Words>
  <Characters>2507</Characters>
  <Lines>20</Lines>
  <Paragraphs>5</Paragraphs>
  <TotalTime>110</TotalTime>
  <ScaleCrop>false</ScaleCrop>
  <LinksUpToDate>false</LinksUpToDate>
  <CharactersWithSpaces>2941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2024-10-25T08:06:00Z</dcterms:created>
  <dc:creator>隋涛</dc:creator>
  <cp:lastModifiedBy>Administrator</cp:lastModifiedBy>
  <dcterms:modified xsi:type="dcterms:W3CDTF">2024-10-29T01:04:51Z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44DD05CEEF4F40BE924B5CAE7439AC20_13</vt:lpwstr>
  </property>
</Properties>
</file>