
<file path=[Content_Types].xml><?xml version="1.0" encoding="utf-8"?>
<Types xmlns="http://schemas.openxmlformats.org/package/2006/content-types">
  <Default Extension="xml" ContentType="application/xml"/>
  <Default Extension="doc" ContentType="application/msword"/>
  <Default Extension="xlsx" ContentType="application/vnd.openxmlformats-officedocument.spreadsheetml.shee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1" w:name="_GoBack"/>
      <w:bookmarkEnd w:id="41"/>
    </w:p>
    <w:p>
      <w:pPr>
        <w:jc w:val="center"/>
      </w:pPr>
    </w:p>
    <w:p>
      <w:pPr>
        <w:jc w:val="center"/>
      </w:pPr>
    </w:p>
    <w:p>
      <w:pPr>
        <w:jc w:val="center"/>
      </w:pPr>
    </w:p>
    <w:p>
      <w:pPr>
        <w:jc w:val="center"/>
      </w:pPr>
    </w:p>
    <w:p>
      <w:pPr>
        <w:jc w:val="center"/>
        <w:rPr>
          <w:b/>
          <w:sz w:val="72"/>
        </w:rPr>
      </w:pPr>
      <w:r>
        <w:rPr>
          <w:rFonts w:hint="eastAsia"/>
          <w:b/>
          <w:sz w:val="72"/>
        </w:rPr>
        <w:t>中国建设银行</w:t>
      </w:r>
    </w:p>
    <w:p>
      <w:pPr>
        <w:jc w:val="center"/>
        <w:rPr>
          <w:b/>
          <w:sz w:val="52"/>
          <w:szCs w:val="52"/>
        </w:rPr>
      </w:pPr>
      <w:r>
        <w:rPr>
          <w:rFonts w:hint="eastAsia"/>
          <w:b/>
          <w:sz w:val="52"/>
          <w:szCs w:val="52"/>
        </w:rPr>
        <w:t>厦门市分行</w:t>
      </w:r>
    </w:p>
    <w:p>
      <w:pPr>
        <w:jc w:val="center"/>
        <w:rPr>
          <w:b/>
          <w:sz w:val="52"/>
          <w:szCs w:val="52"/>
        </w:rPr>
      </w:pPr>
    </w:p>
    <w:p>
      <w:pPr>
        <w:jc w:val="center"/>
        <w:rPr>
          <w:b/>
          <w:sz w:val="52"/>
          <w:szCs w:val="52"/>
        </w:rPr>
      </w:pPr>
    </w:p>
    <w:p>
      <w:pPr>
        <w:jc w:val="center"/>
        <w:rPr>
          <w:b/>
          <w:sz w:val="52"/>
          <w:szCs w:val="52"/>
        </w:rPr>
      </w:pPr>
      <w:r>
        <w:rPr>
          <w:rFonts w:hint="eastAsia"/>
          <w:b/>
          <w:sz w:val="52"/>
          <w:szCs w:val="52"/>
        </w:rPr>
        <w:t>中心机房2025-2027年度</w:t>
      </w:r>
    </w:p>
    <w:p>
      <w:pPr>
        <w:jc w:val="center"/>
        <w:rPr>
          <w:b/>
          <w:sz w:val="52"/>
          <w:szCs w:val="52"/>
        </w:rPr>
      </w:pPr>
      <w:r>
        <w:rPr>
          <w:rFonts w:hint="eastAsia"/>
          <w:b/>
          <w:sz w:val="52"/>
          <w:szCs w:val="52"/>
        </w:rPr>
        <w:t>环境设施维护服务项目需求</w:t>
      </w:r>
    </w:p>
    <w:p>
      <w:pPr>
        <w:jc w:val="center"/>
        <w:rPr>
          <w:b/>
          <w:sz w:val="52"/>
          <w:szCs w:val="5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Pr>
        <w:jc w:val="center"/>
      </w:pPr>
    </w:p>
    <w:p>
      <w:pPr>
        <w:jc w:val="center"/>
      </w:pPr>
    </w:p>
    <w:p>
      <w:pPr>
        <w:jc w:val="center"/>
        <w:sectPr>
          <w:headerReference r:id="rId4" w:type="first"/>
          <w:footerReference r:id="rId7" w:type="first"/>
          <w:headerReference r:id="rId3" w:type="default"/>
          <w:footerReference r:id="rId5" w:type="default"/>
          <w:footerReference r:id="rId6" w:type="even"/>
          <w:pgSz w:w="11906" w:h="16838"/>
          <w:pgMar w:top="737" w:right="1247" w:bottom="340" w:left="1474" w:header="851" w:footer="992" w:gutter="227"/>
          <w:pgNumType w:start="0"/>
          <w:cols w:space="425" w:num="1"/>
          <w:docGrid w:type="lines" w:linePitch="312" w:charSpace="0"/>
        </w:sectPr>
      </w:pPr>
      <w:r>
        <w:rPr>
          <w:rFonts w:hint="eastAsia"/>
          <w:b/>
          <w:bCs/>
          <w:sz w:val="36"/>
        </w:rPr>
        <w:t>2024年11月</w:t>
      </w:r>
    </w:p>
    <w:p/>
    <w:p>
      <w:pPr>
        <w:jc w:val="center"/>
      </w:pPr>
      <w:r>
        <w:rPr>
          <w:rFonts w:hint="eastAsia"/>
          <w:b/>
          <w:bCs/>
          <w:sz w:val="32"/>
        </w:rPr>
        <w:t>目录</w:t>
      </w:r>
      <w:r>
        <w:rPr>
          <w:b/>
          <w:bCs/>
          <w:sz w:val="32"/>
        </w:rPr>
        <w:fldChar w:fldCharType="begin"/>
      </w:r>
      <w:r>
        <w:rPr>
          <w:b/>
          <w:bCs/>
          <w:sz w:val="32"/>
        </w:rPr>
        <w:instrText xml:space="preserve"> </w:instrText>
      </w:r>
      <w:r>
        <w:rPr>
          <w:rFonts w:hint="eastAsia"/>
          <w:b/>
          <w:bCs/>
          <w:sz w:val="32"/>
        </w:rPr>
        <w:instrText xml:space="preserve">TOC \o "1-3" \h \z \u</w:instrText>
      </w:r>
      <w:r>
        <w:rPr>
          <w:b/>
          <w:bCs/>
          <w:sz w:val="32"/>
        </w:rPr>
        <w:instrText xml:space="preserve"> </w:instrText>
      </w:r>
      <w:r>
        <w:rPr>
          <w:b/>
          <w:bCs/>
          <w:sz w:val="32"/>
        </w:rPr>
        <w:fldChar w:fldCharType="separate"/>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"_Toc181435586" </w:instrText>
      </w:r>
      <w:r>
        <w:fldChar w:fldCharType="separate"/>
      </w:r>
      <w:r>
        <w:rPr>
          <w:rStyle w:val="28"/>
          <w:rFonts w:hint="eastAsia"/>
        </w:rPr>
        <w:t>服务接受方</w:t>
      </w:r>
      <w:r>
        <w:tab/>
      </w:r>
      <w:r>
        <w:fldChar w:fldCharType="begin"/>
      </w:r>
      <w:r>
        <w:instrText xml:space="preserve"> PAGEREF _Toc181435586 \h </w:instrText>
      </w:r>
      <w:r>
        <w:fldChar w:fldCharType="separate"/>
      </w:r>
      <w:r>
        <w:t>1</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"_Toc181435587" </w:instrText>
      </w:r>
      <w:r>
        <w:fldChar w:fldCharType="separate"/>
      </w:r>
      <w:r>
        <w:rPr>
          <w:rStyle w:val="28"/>
          <w:rFonts w:hint="eastAsia"/>
        </w:rPr>
        <w:t>服务提供方</w:t>
      </w:r>
      <w:r>
        <w:tab/>
      </w:r>
      <w:r>
        <w:fldChar w:fldCharType="begin"/>
      </w:r>
      <w:r>
        <w:instrText xml:space="preserve"> PAGEREF _Toc181435587 \h </w:instrText>
      </w:r>
      <w:r>
        <w:fldChar w:fldCharType="separate"/>
      </w:r>
      <w:r>
        <w:t>1</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"_Toc181435588" </w:instrText>
      </w:r>
      <w:r>
        <w:fldChar w:fldCharType="separate"/>
      </w:r>
      <w:r>
        <w:rPr>
          <w:rStyle w:val="28"/>
          <w:rFonts w:hint="eastAsia"/>
        </w:rPr>
        <w:t>乙方服务范围</w:t>
      </w:r>
      <w:r>
        <w:tab/>
      </w:r>
      <w:r>
        <w:fldChar w:fldCharType="begin"/>
      </w:r>
      <w:r>
        <w:instrText xml:space="preserve"> PAGEREF _Toc181435588 \h </w:instrText>
      </w:r>
      <w:r>
        <w:fldChar w:fldCharType="separate"/>
      </w:r>
      <w:r>
        <w:t>1</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"_Toc181435589" </w:instrText>
      </w:r>
      <w:r>
        <w:fldChar w:fldCharType="separate"/>
      </w:r>
      <w:r>
        <w:rPr>
          <w:rStyle w:val="28"/>
          <w:rFonts w:hint="eastAsia"/>
        </w:rPr>
        <w:t>乙方服务内容及方式</w:t>
      </w:r>
      <w:r>
        <w:tab/>
      </w:r>
      <w:r>
        <w:fldChar w:fldCharType="begin"/>
      </w:r>
      <w:r>
        <w:instrText xml:space="preserve"> PAGEREF _Toc181435589 \h </w:instrText>
      </w:r>
      <w:r>
        <w:fldChar w:fldCharType="separate"/>
      </w:r>
      <w:r>
        <w:t>1</w:t>
      </w:r>
      <w:r>
        <w:fldChar w:fldCharType="end"/>
      </w:r>
      <w:r>
        <w:fldChar w:fldCharType="end"/>
      </w:r>
    </w:p>
    <w:p>
      <w:pPr>
        <w:pStyle w:val="20"/>
        <w:tabs>
          <w:tab w:val="left" w:pos="840"/>
          <w:tab w:val="right" w:leader="dot" w:pos="8948"/>
        </w:tabs>
        <w:rPr>
          <w:rFonts w:asciiTheme="minorHAnsi" w:hAnsiTheme="minorHAnsi" w:eastAsiaTheme="minorEastAsia" w:cstheme="minorBidi"/>
          <w:szCs w:val="22"/>
        </w:rPr>
      </w:pPr>
      <w:r>
        <w:fldChar w:fldCharType="begin"/>
      </w:r>
      <w:r>
        <w:instrText xml:space="preserve"> HYPERLINK \l "_Toc181435590" </w:instrText>
      </w:r>
      <w:r>
        <w:fldChar w:fldCharType="separate"/>
      </w:r>
      <w:r>
        <w:rPr>
          <w:rStyle w:val="28"/>
        </w:rPr>
        <w:t>1.</w:t>
      </w:r>
      <w:r>
        <w:rPr>
          <w:rFonts w:asciiTheme="minorHAnsi" w:hAnsiTheme="minorHAnsi" w:eastAsiaTheme="minorEastAsia" w:cstheme="minorBidi"/>
          <w:szCs w:val="22"/>
        </w:rPr>
        <w:tab/>
      </w:r>
      <w:r>
        <w:rPr>
          <w:rStyle w:val="28"/>
        </w:rPr>
        <w:t>7×24</w:t>
      </w:r>
      <w:r>
        <w:rPr>
          <w:rStyle w:val="28"/>
          <w:rFonts w:hint="eastAsia"/>
        </w:rPr>
        <w:t>热线服务。</w:t>
      </w:r>
      <w:r>
        <w:tab/>
      </w:r>
      <w:r>
        <w:fldChar w:fldCharType="begin"/>
      </w:r>
      <w:r>
        <w:instrText xml:space="preserve"> PAGEREF _Toc181435590 \h </w:instrText>
      </w:r>
      <w:r>
        <w:fldChar w:fldCharType="separate"/>
      </w:r>
      <w:r>
        <w:t>1</w:t>
      </w:r>
      <w:r>
        <w:fldChar w:fldCharType="end"/>
      </w:r>
      <w:r>
        <w:fldChar w:fldCharType="end"/>
      </w:r>
    </w:p>
    <w:p>
      <w:pPr>
        <w:pStyle w:val="20"/>
        <w:tabs>
          <w:tab w:val="left" w:pos="840"/>
          <w:tab w:val="right" w:leader="dot" w:pos="8948"/>
        </w:tabs>
        <w:rPr>
          <w:rFonts w:asciiTheme="minorHAnsi" w:hAnsiTheme="minorHAnsi" w:eastAsiaTheme="minorEastAsia" w:cstheme="minorBidi"/>
          <w:szCs w:val="22"/>
        </w:rPr>
      </w:pPr>
      <w:r>
        <w:fldChar w:fldCharType="begin"/>
      </w:r>
      <w:r>
        <w:instrText xml:space="preserve"> HYPERLINK \l "_Toc181435591" </w:instrText>
      </w:r>
      <w:r>
        <w:fldChar w:fldCharType="separate"/>
      </w:r>
      <w:r>
        <w:rPr>
          <w:rStyle w:val="28"/>
        </w:rPr>
        <w:t>2.</w:t>
      </w:r>
      <w:r>
        <w:rPr>
          <w:rFonts w:asciiTheme="minorHAnsi" w:hAnsiTheme="minorHAnsi" w:eastAsiaTheme="minorEastAsia" w:cstheme="minorBidi"/>
          <w:szCs w:val="22"/>
        </w:rPr>
        <w:tab/>
      </w:r>
      <w:r>
        <w:rPr>
          <w:rStyle w:val="28"/>
        </w:rPr>
        <w:t>7×24×2×4</w:t>
      </w:r>
      <w:r>
        <w:rPr>
          <w:rStyle w:val="28"/>
          <w:rFonts w:hint="eastAsia"/>
        </w:rPr>
        <w:t>及</w:t>
      </w:r>
      <w:r>
        <w:rPr>
          <w:rStyle w:val="28"/>
        </w:rPr>
        <w:t>7×24×4×48</w:t>
      </w:r>
      <w:r>
        <w:rPr>
          <w:rStyle w:val="28"/>
          <w:rFonts w:hint="eastAsia"/>
        </w:rPr>
        <w:t>上门维修服务</w:t>
      </w:r>
      <w:r>
        <w:tab/>
      </w:r>
      <w:r>
        <w:fldChar w:fldCharType="begin"/>
      </w:r>
      <w:r>
        <w:instrText xml:space="preserve"> PAGEREF _Toc181435591 \h </w:instrText>
      </w:r>
      <w:r>
        <w:fldChar w:fldCharType="separate"/>
      </w:r>
      <w:r>
        <w:t>1</w:t>
      </w:r>
      <w:r>
        <w:fldChar w:fldCharType="end"/>
      </w:r>
      <w:r>
        <w:fldChar w:fldCharType="end"/>
      </w:r>
    </w:p>
    <w:p>
      <w:pPr>
        <w:pStyle w:val="20"/>
        <w:tabs>
          <w:tab w:val="left" w:pos="840"/>
          <w:tab w:val="right" w:leader="dot" w:pos="8948"/>
        </w:tabs>
        <w:rPr>
          <w:rFonts w:asciiTheme="minorHAnsi" w:hAnsiTheme="minorHAnsi" w:eastAsiaTheme="minorEastAsia" w:cstheme="minorBidi"/>
          <w:szCs w:val="22"/>
        </w:rPr>
      </w:pPr>
      <w:r>
        <w:fldChar w:fldCharType="begin"/>
      </w:r>
      <w:r>
        <w:instrText xml:space="preserve"> HYPERLINK \l "_Toc181435592" </w:instrText>
      </w:r>
      <w:r>
        <w:fldChar w:fldCharType="separate"/>
      </w:r>
      <w:r>
        <w:rPr>
          <w:rStyle w:val="28"/>
        </w:rPr>
        <w:t>3.</w:t>
      </w:r>
      <w:r>
        <w:rPr>
          <w:rFonts w:asciiTheme="minorHAnsi" w:hAnsiTheme="minorHAnsi" w:eastAsiaTheme="minorEastAsia" w:cstheme="minorBidi"/>
          <w:szCs w:val="22"/>
        </w:rPr>
        <w:tab/>
      </w:r>
      <w:r>
        <w:rPr>
          <w:rStyle w:val="28"/>
          <w:rFonts w:hint="eastAsia"/>
        </w:rPr>
        <w:t>预防性巡检、保养维护服务</w:t>
      </w:r>
      <w:r>
        <w:tab/>
      </w:r>
      <w:r>
        <w:fldChar w:fldCharType="begin"/>
      </w:r>
      <w:r>
        <w:instrText xml:space="preserve"> PAGEREF _Toc181435592 \h </w:instrText>
      </w:r>
      <w:r>
        <w:fldChar w:fldCharType="separate"/>
      </w:r>
      <w:r>
        <w:t>2</w:t>
      </w:r>
      <w:r>
        <w:fldChar w:fldCharType="end"/>
      </w:r>
      <w:r>
        <w:fldChar w:fldCharType="end"/>
      </w:r>
    </w:p>
    <w:p>
      <w:pPr>
        <w:pStyle w:val="20"/>
        <w:tabs>
          <w:tab w:val="left" w:pos="840"/>
          <w:tab w:val="right" w:leader="dot" w:pos="8948"/>
        </w:tabs>
        <w:rPr>
          <w:rFonts w:asciiTheme="minorHAnsi" w:hAnsiTheme="minorHAnsi" w:eastAsiaTheme="minorEastAsia" w:cstheme="minorBidi"/>
          <w:szCs w:val="22"/>
        </w:rPr>
      </w:pPr>
      <w:r>
        <w:fldChar w:fldCharType="begin"/>
      </w:r>
      <w:r>
        <w:instrText xml:space="preserve"> HYPERLINK \l "_Toc181435593" </w:instrText>
      </w:r>
      <w:r>
        <w:fldChar w:fldCharType="separate"/>
      </w:r>
      <w:r>
        <w:rPr>
          <w:rStyle w:val="28"/>
        </w:rPr>
        <w:t>4.</w:t>
      </w:r>
      <w:r>
        <w:rPr>
          <w:rFonts w:asciiTheme="minorHAnsi" w:hAnsiTheme="minorHAnsi" w:eastAsiaTheme="minorEastAsia" w:cstheme="minorBidi"/>
          <w:szCs w:val="22"/>
        </w:rPr>
        <w:tab/>
      </w:r>
      <w:r>
        <w:rPr>
          <w:rStyle w:val="28"/>
          <w:rFonts w:hint="eastAsia"/>
        </w:rPr>
        <w:t>工程师现场支持服务</w:t>
      </w:r>
      <w:r>
        <w:tab/>
      </w:r>
      <w:r>
        <w:fldChar w:fldCharType="begin"/>
      </w:r>
      <w:r>
        <w:instrText xml:space="preserve"> PAGEREF _Toc181435593 \h </w:instrText>
      </w:r>
      <w:r>
        <w:fldChar w:fldCharType="separate"/>
      </w:r>
      <w:r>
        <w:t>2</w:t>
      </w:r>
      <w:r>
        <w:fldChar w:fldCharType="end"/>
      </w:r>
      <w:r>
        <w:fldChar w:fldCharType="end"/>
      </w:r>
    </w:p>
    <w:p>
      <w:pPr>
        <w:pStyle w:val="20"/>
        <w:tabs>
          <w:tab w:val="left" w:pos="840"/>
          <w:tab w:val="right" w:leader="dot" w:pos="8948"/>
        </w:tabs>
        <w:rPr>
          <w:rFonts w:asciiTheme="minorHAnsi" w:hAnsiTheme="minorHAnsi" w:eastAsiaTheme="minorEastAsia" w:cstheme="minorBidi"/>
          <w:szCs w:val="22"/>
        </w:rPr>
      </w:pPr>
      <w:r>
        <w:fldChar w:fldCharType="begin"/>
      </w:r>
      <w:r>
        <w:instrText xml:space="preserve"> HYPERLINK \l "_Toc181435594" </w:instrText>
      </w:r>
      <w:r>
        <w:fldChar w:fldCharType="separate"/>
      </w:r>
      <w:r>
        <w:rPr>
          <w:rStyle w:val="28"/>
        </w:rPr>
        <w:t>5.</w:t>
      </w:r>
      <w:r>
        <w:rPr>
          <w:rFonts w:asciiTheme="minorHAnsi" w:hAnsiTheme="minorHAnsi" w:eastAsiaTheme="minorEastAsia" w:cstheme="minorBidi"/>
          <w:szCs w:val="22"/>
        </w:rPr>
        <w:tab/>
      </w:r>
      <w:r>
        <w:rPr>
          <w:rStyle w:val="28"/>
          <w:rFonts w:hint="eastAsia"/>
        </w:rPr>
        <w:t>关键备件保障服务</w:t>
      </w:r>
      <w:r>
        <w:tab/>
      </w:r>
      <w:r>
        <w:fldChar w:fldCharType="begin"/>
      </w:r>
      <w:r>
        <w:instrText xml:space="preserve"> PAGEREF _Toc181435594 \h </w:instrText>
      </w:r>
      <w:r>
        <w:fldChar w:fldCharType="separate"/>
      </w:r>
      <w:r>
        <w:t>2</w:t>
      </w:r>
      <w:r>
        <w:fldChar w:fldCharType="end"/>
      </w:r>
      <w:r>
        <w:fldChar w:fldCharType="end"/>
      </w:r>
    </w:p>
    <w:p>
      <w:pPr>
        <w:pStyle w:val="20"/>
        <w:tabs>
          <w:tab w:val="left" w:pos="840"/>
          <w:tab w:val="right" w:leader="dot" w:pos="8948"/>
        </w:tabs>
        <w:rPr>
          <w:rFonts w:asciiTheme="minorHAnsi" w:hAnsiTheme="minorHAnsi" w:eastAsiaTheme="minorEastAsia" w:cstheme="minorBidi"/>
          <w:szCs w:val="22"/>
        </w:rPr>
      </w:pPr>
      <w:r>
        <w:fldChar w:fldCharType="begin"/>
      </w:r>
      <w:r>
        <w:instrText xml:space="preserve"> HYPERLINK \l "_Toc181435595" </w:instrText>
      </w:r>
      <w:r>
        <w:fldChar w:fldCharType="separate"/>
      </w:r>
      <w:r>
        <w:rPr>
          <w:rStyle w:val="28"/>
        </w:rPr>
        <w:t>6.</w:t>
      </w:r>
      <w:r>
        <w:rPr>
          <w:rFonts w:asciiTheme="minorHAnsi" w:hAnsiTheme="minorHAnsi" w:eastAsiaTheme="minorEastAsia" w:cstheme="minorBidi"/>
          <w:szCs w:val="22"/>
        </w:rPr>
        <w:tab/>
      </w:r>
      <w:r>
        <w:rPr>
          <w:rStyle w:val="28"/>
          <w:rFonts w:hint="eastAsia"/>
        </w:rPr>
        <w:t>机房改造、扩容咨询服务</w:t>
      </w:r>
      <w:r>
        <w:tab/>
      </w:r>
      <w:r>
        <w:fldChar w:fldCharType="begin"/>
      </w:r>
      <w:r>
        <w:instrText xml:space="preserve"> PAGEREF _Toc181435595 \h </w:instrText>
      </w:r>
      <w:r>
        <w:fldChar w:fldCharType="separate"/>
      </w:r>
      <w:r>
        <w:t>2</w:t>
      </w:r>
      <w:r>
        <w:fldChar w:fldCharType="end"/>
      </w:r>
      <w:r>
        <w:fldChar w:fldCharType="end"/>
      </w:r>
    </w:p>
    <w:p>
      <w:pPr>
        <w:pStyle w:val="20"/>
        <w:tabs>
          <w:tab w:val="left" w:pos="840"/>
          <w:tab w:val="right" w:leader="dot" w:pos="8948"/>
        </w:tabs>
        <w:rPr>
          <w:rFonts w:asciiTheme="minorHAnsi" w:hAnsiTheme="minorHAnsi" w:eastAsiaTheme="minorEastAsia" w:cstheme="minorBidi"/>
          <w:szCs w:val="22"/>
        </w:rPr>
      </w:pPr>
      <w:r>
        <w:fldChar w:fldCharType="begin"/>
      </w:r>
      <w:r>
        <w:instrText xml:space="preserve"> HYPERLINK \l "_Toc181435596" </w:instrText>
      </w:r>
      <w:r>
        <w:fldChar w:fldCharType="separate"/>
      </w:r>
      <w:r>
        <w:rPr>
          <w:rStyle w:val="28"/>
        </w:rPr>
        <w:t>7.</w:t>
      </w:r>
      <w:r>
        <w:rPr>
          <w:rFonts w:asciiTheme="minorHAnsi" w:hAnsiTheme="minorHAnsi" w:eastAsiaTheme="minorEastAsia" w:cstheme="minorBidi"/>
          <w:szCs w:val="22"/>
        </w:rPr>
        <w:tab/>
      </w:r>
      <w:r>
        <w:rPr>
          <w:rStyle w:val="28"/>
          <w:rFonts w:hint="eastAsia"/>
        </w:rPr>
        <w:t>技术交流和培训服务</w:t>
      </w:r>
      <w:r>
        <w:tab/>
      </w:r>
      <w:r>
        <w:fldChar w:fldCharType="begin"/>
      </w:r>
      <w:r>
        <w:instrText xml:space="preserve"> PAGEREF _Toc181435596 \h </w:instrText>
      </w:r>
      <w:r>
        <w:fldChar w:fldCharType="separate"/>
      </w:r>
      <w:r>
        <w:t>3</w:t>
      </w:r>
      <w:r>
        <w:fldChar w:fldCharType="end"/>
      </w:r>
      <w:r>
        <w:fldChar w:fldCharType="end"/>
      </w:r>
    </w:p>
    <w:p>
      <w:pPr>
        <w:pStyle w:val="20"/>
        <w:tabs>
          <w:tab w:val="left" w:pos="840"/>
          <w:tab w:val="right" w:leader="dot" w:pos="8948"/>
        </w:tabs>
        <w:rPr>
          <w:rFonts w:asciiTheme="minorHAnsi" w:hAnsiTheme="minorHAnsi" w:eastAsiaTheme="minorEastAsia" w:cstheme="minorBidi"/>
          <w:szCs w:val="22"/>
        </w:rPr>
      </w:pPr>
      <w:r>
        <w:fldChar w:fldCharType="begin"/>
      </w:r>
      <w:r>
        <w:instrText xml:space="preserve"> HYPERLINK \l "_Toc181435597" </w:instrText>
      </w:r>
      <w:r>
        <w:fldChar w:fldCharType="separate"/>
      </w:r>
      <w:r>
        <w:rPr>
          <w:rStyle w:val="28"/>
        </w:rPr>
        <w:t>8.</w:t>
      </w:r>
      <w:r>
        <w:rPr>
          <w:rFonts w:asciiTheme="minorHAnsi" w:hAnsiTheme="minorHAnsi" w:eastAsiaTheme="minorEastAsia" w:cstheme="minorBidi"/>
          <w:szCs w:val="22"/>
        </w:rPr>
        <w:tab/>
      </w:r>
      <w:r>
        <w:rPr>
          <w:rStyle w:val="28"/>
          <w:rFonts w:hint="eastAsia"/>
        </w:rPr>
        <w:t>数据中心检测服务</w:t>
      </w:r>
      <w:r>
        <w:tab/>
      </w:r>
      <w:r>
        <w:fldChar w:fldCharType="begin"/>
      </w:r>
      <w:r>
        <w:instrText xml:space="preserve"> PAGEREF _Toc181435597 \h </w:instrText>
      </w:r>
      <w:r>
        <w:fldChar w:fldCharType="separate"/>
      </w:r>
      <w:r>
        <w:t>3</w:t>
      </w:r>
      <w:r>
        <w:fldChar w:fldCharType="end"/>
      </w:r>
      <w:r>
        <w:fldChar w:fldCharType="end"/>
      </w:r>
    </w:p>
    <w:p>
      <w:pPr>
        <w:pStyle w:val="20"/>
        <w:tabs>
          <w:tab w:val="left" w:pos="840"/>
          <w:tab w:val="right" w:leader="dot" w:pos="8948"/>
        </w:tabs>
        <w:rPr>
          <w:rFonts w:asciiTheme="minorHAnsi" w:hAnsiTheme="minorHAnsi" w:eastAsiaTheme="minorEastAsia" w:cstheme="minorBidi"/>
          <w:szCs w:val="22"/>
        </w:rPr>
      </w:pPr>
      <w:r>
        <w:fldChar w:fldCharType="begin"/>
      </w:r>
      <w:r>
        <w:instrText xml:space="preserve"> HYPERLINK \l "_Toc181435598" </w:instrText>
      </w:r>
      <w:r>
        <w:fldChar w:fldCharType="separate"/>
      </w:r>
      <w:r>
        <w:rPr>
          <w:rStyle w:val="28"/>
        </w:rPr>
        <w:t>9.</w:t>
      </w:r>
      <w:r>
        <w:rPr>
          <w:rFonts w:asciiTheme="minorHAnsi" w:hAnsiTheme="minorHAnsi" w:eastAsiaTheme="minorEastAsia" w:cstheme="minorBidi"/>
          <w:szCs w:val="22"/>
        </w:rPr>
        <w:tab/>
      </w:r>
      <w:r>
        <w:rPr>
          <w:rStyle w:val="28"/>
          <w:rFonts w:hint="eastAsia"/>
        </w:rPr>
        <w:t>数据中心延保服务</w:t>
      </w:r>
      <w:r>
        <w:tab/>
      </w:r>
      <w:r>
        <w:fldChar w:fldCharType="begin"/>
      </w:r>
      <w:r>
        <w:instrText xml:space="preserve"> PAGEREF _Toc181435598 \h </w:instrText>
      </w:r>
      <w:r>
        <w:fldChar w:fldCharType="separate"/>
      </w:r>
      <w:r>
        <w:t>3</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"_Toc181435599" </w:instrText>
      </w:r>
      <w:r>
        <w:fldChar w:fldCharType="separate"/>
      </w:r>
      <w:r>
        <w:rPr>
          <w:rStyle w:val="28"/>
          <w:rFonts w:hint="eastAsia"/>
        </w:rPr>
        <w:t>乙方服务目标承诺</w:t>
      </w:r>
      <w:r>
        <w:tab/>
      </w:r>
      <w:r>
        <w:fldChar w:fldCharType="begin"/>
      </w:r>
      <w:r>
        <w:instrText xml:space="preserve"> PAGEREF _Toc181435599 \h </w:instrText>
      </w:r>
      <w:r>
        <w:fldChar w:fldCharType="separate"/>
      </w:r>
      <w:r>
        <w:t>3</w:t>
      </w:r>
      <w:r>
        <w:fldChar w:fldCharType="end"/>
      </w:r>
      <w:r>
        <w:fldChar w:fldCharType="end"/>
      </w:r>
    </w:p>
    <w:p>
      <w:pPr>
        <w:pStyle w:val="20"/>
        <w:tabs>
          <w:tab w:val="right" w:leader="dot" w:pos="8948"/>
        </w:tabs>
        <w:rPr>
          <w:rFonts w:asciiTheme="minorHAnsi" w:hAnsiTheme="minorHAnsi" w:eastAsiaTheme="minorEastAsia" w:cstheme="minorBidi"/>
          <w:szCs w:val="22"/>
        </w:rPr>
      </w:pPr>
      <w:r>
        <w:fldChar w:fldCharType="begin"/>
      </w:r>
      <w:r>
        <w:instrText xml:space="preserve"> HYPERLINK \l "_Toc181435600" </w:instrText>
      </w:r>
      <w:r>
        <w:fldChar w:fldCharType="separate"/>
      </w:r>
      <w:r>
        <w:rPr>
          <w:rStyle w:val="28"/>
          <w:rFonts w:hint="eastAsia"/>
        </w:rPr>
        <w:t>事件级别定义</w:t>
      </w:r>
      <w:r>
        <w:tab/>
      </w:r>
      <w:r>
        <w:fldChar w:fldCharType="begin"/>
      </w:r>
      <w:r>
        <w:instrText xml:space="preserve"> PAGEREF _Toc181435600 \h </w:instrText>
      </w:r>
      <w:r>
        <w:fldChar w:fldCharType="separate"/>
      </w:r>
      <w:r>
        <w:t>3</w:t>
      </w:r>
      <w:r>
        <w:fldChar w:fldCharType="end"/>
      </w:r>
      <w:r>
        <w:fldChar w:fldCharType="end"/>
      </w:r>
    </w:p>
    <w:p>
      <w:pPr>
        <w:pStyle w:val="20"/>
        <w:tabs>
          <w:tab w:val="right" w:leader="dot" w:pos="8948"/>
        </w:tabs>
        <w:rPr>
          <w:rFonts w:asciiTheme="minorHAnsi" w:hAnsiTheme="minorHAnsi" w:eastAsiaTheme="minorEastAsia" w:cstheme="minorBidi"/>
          <w:szCs w:val="22"/>
        </w:rPr>
      </w:pPr>
      <w:r>
        <w:fldChar w:fldCharType="begin"/>
      </w:r>
      <w:r>
        <w:instrText xml:space="preserve"> HYPERLINK \l "_Toc181435601" </w:instrText>
      </w:r>
      <w:r>
        <w:fldChar w:fldCharType="separate"/>
      </w:r>
      <w:r>
        <w:rPr>
          <w:rStyle w:val="28"/>
          <w:rFonts w:hint="eastAsia"/>
        </w:rPr>
        <w:t>乙方服务目标承诺</w:t>
      </w:r>
      <w:r>
        <w:tab/>
      </w:r>
      <w:r>
        <w:fldChar w:fldCharType="begin"/>
      </w:r>
      <w:r>
        <w:instrText xml:space="preserve"> PAGEREF _Toc181435601 \h </w:instrText>
      </w:r>
      <w:r>
        <w:fldChar w:fldCharType="separate"/>
      </w:r>
      <w:r>
        <w:t>4</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"_Toc181435602" </w:instrText>
      </w:r>
      <w:r>
        <w:fldChar w:fldCharType="separate"/>
      </w:r>
      <w:r>
        <w:rPr>
          <w:rStyle w:val="28"/>
          <w:rFonts w:hint="eastAsia"/>
        </w:rPr>
        <w:t>乙方组织架构</w:t>
      </w:r>
      <w:r>
        <w:tab/>
      </w:r>
      <w:r>
        <w:fldChar w:fldCharType="begin"/>
      </w:r>
      <w:r>
        <w:instrText xml:space="preserve"> PAGEREF _Toc181435602 \h </w:instrText>
      </w:r>
      <w:r>
        <w:fldChar w:fldCharType="separate"/>
      </w:r>
      <w:r>
        <w:t>4</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"_Toc181435603" </w:instrText>
      </w:r>
      <w:r>
        <w:fldChar w:fldCharType="separate"/>
      </w:r>
      <w:r>
        <w:rPr>
          <w:rStyle w:val="28"/>
          <w:rFonts w:hint="eastAsia"/>
        </w:rPr>
        <w:t>双方责任</w:t>
      </w:r>
      <w:r>
        <w:tab/>
      </w:r>
      <w:r>
        <w:fldChar w:fldCharType="begin"/>
      </w:r>
      <w:r>
        <w:instrText xml:space="preserve"> PAGEREF _Toc181435603 \h </w:instrText>
      </w:r>
      <w:r>
        <w:fldChar w:fldCharType="separate"/>
      </w:r>
      <w:r>
        <w:t>5</w:t>
      </w:r>
      <w:r>
        <w:fldChar w:fldCharType="end"/>
      </w:r>
      <w:r>
        <w:fldChar w:fldCharType="end"/>
      </w:r>
    </w:p>
    <w:p>
      <w:pPr>
        <w:pStyle w:val="20"/>
        <w:tabs>
          <w:tab w:val="right" w:leader="dot" w:pos="8948"/>
        </w:tabs>
        <w:rPr>
          <w:rFonts w:asciiTheme="minorHAnsi" w:hAnsiTheme="minorHAnsi" w:eastAsiaTheme="minorEastAsia" w:cstheme="minorBidi"/>
          <w:szCs w:val="22"/>
        </w:rPr>
      </w:pPr>
      <w:r>
        <w:fldChar w:fldCharType="begin"/>
      </w:r>
      <w:r>
        <w:instrText xml:space="preserve"> HYPERLINK \l "_Toc181435604" </w:instrText>
      </w:r>
      <w:r>
        <w:fldChar w:fldCharType="separate"/>
      </w:r>
      <w:r>
        <w:rPr>
          <w:rStyle w:val="28"/>
          <w:rFonts w:hint="eastAsia"/>
        </w:rPr>
        <w:t>甲方责任</w:t>
      </w:r>
      <w:r>
        <w:tab/>
      </w:r>
      <w:r>
        <w:fldChar w:fldCharType="begin"/>
      </w:r>
      <w:r>
        <w:instrText xml:space="preserve"> PAGEREF _Toc181435604 \h </w:instrText>
      </w:r>
      <w:r>
        <w:fldChar w:fldCharType="separate"/>
      </w:r>
      <w:r>
        <w:t>5</w:t>
      </w:r>
      <w:r>
        <w:fldChar w:fldCharType="end"/>
      </w:r>
      <w:r>
        <w:fldChar w:fldCharType="end"/>
      </w:r>
    </w:p>
    <w:p>
      <w:pPr>
        <w:pStyle w:val="20"/>
        <w:tabs>
          <w:tab w:val="right" w:leader="dot" w:pos="8948"/>
        </w:tabs>
        <w:rPr>
          <w:rFonts w:asciiTheme="minorHAnsi" w:hAnsiTheme="minorHAnsi" w:eastAsiaTheme="minorEastAsia" w:cstheme="minorBidi"/>
          <w:szCs w:val="22"/>
        </w:rPr>
      </w:pPr>
      <w:r>
        <w:fldChar w:fldCharType="begin"/>
      </w:r>
      <w:r>
        <w:instrText xml:space="preserve"> HYPERLINK \l "_Toc181435605" </w:instrText>
      </w:r>
      <w:r>
        <w:fldChar w:fldCharType="separate"/>
      </w:r>
      <w:r>
        <w:rPr>
          <w:rStyle w:val="28"/>
          <w:rFonts w:hint="eastAsia"/>
        </w:rPr>
        <w:t>乙方责任</w:t>
      </w:r>
      <w:r>
        <w:tab/>
      </w:r>
      <w:r>
        <w:fldChar w:fldCharType="begin"/>
      </w:r>
      <w:r>
        <w:instrText xml:space="preserve"> PAGEREF _Toc181435605 \h </w:instrText>
      </w:r>
      <w:r>
        <w:fldChar w:fldCharType="separate"/>
      </w:r>
      <w:r>
        <w:t>6</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"_Toc181435606" </w:instrText>
      </w:r>
      <w:r>
        <w:fldChar w:fldCharType="separate"/>
      </w:r>
      <w:r>
        <w:rPr>
          <w:rStyle w:val="28"/>
          <w:rFonts w:hint="eastAsia"/>
        </w:rPr>
        <w:t>文档管理</w:t>
      </w:r>
      <w:r>
        <w:tab/>
      </w:r>
      <w:r>
        <w:fldChar w:fldCharType="begin"/>
      </w:r>
      <w:r>
        <w:instrText xml:space="preserve"> PAGEREF _Toc181435606 \h </w:instrText>
      </w:r>
      <w:r>
        <w:fldChar w:fldCharType="separate"/>
      </w:r>
      <w:r>
        <w:t>6</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"_Toc181435607" </w:instrText>
      </w:r>
      <w:r>
        <w:fldChar w:fldCharType="separate"/>
      </w:r>
      <w:r>
        <w:rPr>
          <w:rStyle w:val="28"/>
          <w:rFonts w:hint="eastAsia"/>
        </w:rPr>
        <w:t>保密条款</w:t>
      </w:r>
      <w:r>
        <w:tab/>
      </w:r>
      <w:r>
        <w:fldChar w:fldCharType="begin"/>
      </w:r>
      <w:r>
        <w:instrText xml:space="preserve"> PAGEREF _Toc181435607 \h </w:instrText>
      </w:r>
      <w:r>
        <w:fldChar w:fldCharType="separate"/>
      </w:r>
      <w:r>
        <w:t>6</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"_Toc181435608" </w:instrText>
      </w:r>
      <w:r>
        <w:fldChar w:fldCharType="separate"/>
      </w:r>
      <w:r>
        <w:rPr>
          <w:rStyle w:val="28"/>
          <w:rFonts w:hint="eastAsia"/>
        </w:rPr>
        <w:t>验收标准</w:t>
      </w:r>
      <w:r>
        <w:tab/>
      </w:r>
      <w:r>
        <w:fldChar w:fldCharType="begin"/>
      </w:r>
      <w:r>
        <w:instrText xml:space="preserve"> PAGEREF _Toc181435608 \h </w:instrText>
      </w:r>
      <w:r>
        <w:fldChar w:fldCharType="separate"/>
      </w:r>
      <w:r>
        <w:t>6</w:t>
      </w:r>
      <w:r>
        <w:fldChar w:fldCharType="end"/>
      </w:r>
      <w:r>
        <w:fldChar w:fldCharType="end"/>
      </w:r>
    </w:p>
    <w:p>
      <w:pPr>
        <w:pStyle w:val="18"/>
        <w:tabs>
          <w:tab w:val="right" w:leader="dot" w:pos="8948"/>
        </w:tabs>
        <w:rPr>
          <w:rFonts w:asciiTheme="minorHAnsi" w:hAnsiTheme="minorHAnsi" w:eastAsiaTheme="minorEastAsia" w:cstheme="minorBidi"/>
          <w:szCs w:val="22"/>
        </w:rPr>
      </w:pPr>
      <w:r>
        <w:fldChar w:fldCharType="begin"/>
      </w:r>
      <w:r>
        <w:instrText xml:space="preserve"> HYPERLINK \l "_Toc181435609" </w:instrText>
      </w:r>
      <w:r>
        <w:fldChar w:fldCharType="separate"/>
      </w:r>
      <w:r>
        <w:rPr>
          <w:rStyle w:val="28"/>
          <w:rFonts w:hint="eastAsia"/>
        </w:rPr>
        <w:t>款项支付</w:t>
      </w:r>
      <w:r>
        <w:tab/>
      </w:r>
      <w:r>
        <w:fldChar w:fldCharType="begin"/>
      </w:r>
      <w:r>
        <w:instrText xml:space="preserve"> PAGEREF _Toc181435609 \h </w:instrText>
      </w:r>
      <w:r>
        <w:fldChar w:fldCharType="separate"/>
      </w:r>
      <w:r>
        <w:t>7</w:t>
      </w:r>
      <w:r>
        <w:fldChar w:fldCharType="end"/>
      </w:r>
      <w:r>
        <w:fldChar w:fldCharType="end"/>
      </w:r>
    </w:p>
    <w:p>
      <w:pPr>
        <w:pStyle w:val="20"/>
        <w:tabs>
          <w:tab w:val="right" w:leader="dot" w:pos="8948"/>
        </w:tabs>
      </w:pPr>
      <w:r>
        <w:rPr>
          <w:b/>
          <w:bCs/>
          <w:sz w:val="32"/>
        </w:rPr>
        <w:fldChar w:fldCharType="end"/>
      </w:r>
    </w:p>
    <w:p>
      <w:pPr>
        <w:sectPr>
          <w:headerReference r:id="rId8" w:type="default"/>
          <w:footerReference r:id="rId9" w:type="default"/>
          <w:pgSz w:w="11906" w:h="16838"/>
          <w:pgMar w:top="737" w:right="1247" w:bottom="340" w:left="1474" w:header="851" w:footer="992" w:gutter="227"/>
          <w:pgNumType w:fmt="lowerRoman" w:start="1"/>
          <w:cols w:space="425" w:num="1"/>
          <w:titlePg/>
          <w:docGrid w:type="lines" w:linePitch="326" w:charSpace="0"/>
        </w:sectPr>
      </w:pPr>
    </w:p>
    <w:p>
      <w:pPr>
        <w:pStyle w:val="2"/>
        <w:spacing w:line="360" w:lineRule="auto"/>
      </w:pPr>
      <w:bookmarkStart w:id="0" w:name="_Toc67447817"/>
      <w:bookmarkStart w:id="1" w:name="_Toc181435586"/>
      <w:r>
        <w:rPr>
          <w:rFonts w:hint="eastAsia"/>
        </w:rPr>
        <w:t>服务接受方</w:t>
      </w:r>
      <w:bookmarkEnd w:id="0"/>
      <w:bookmarkEnd w:id="1"/>
    </w:p>
    <w:p>
      <w:pPr>
        <w:pStyle w:val="22"/>
        <w:ind w:firstLine="420" w:firstLineChars="200"/>
        <w:jc w:val="both"/>
        <w:rPr>
          <w:rFonts w:ascii="宋体" w:hAnsi="宋体"/>
          <w:b w:val="0"/>
          <w:sz w:val="21"/>
        </w:rPr>
      </w:pPr>
      <w:r>
        <w:rPr>
          <w:rFonts w:hint="eastAsia" w:ascii="宋体" w:hAnsi="宋体"/>
          <w:b w:val="0"/>
          <w:sz w:val="21"/>
        </w:rPr>
        <w:t>中国建设银行厦门市分行，以下简称甲方。</w:t>
      </w:r>
    </w:p>
    <w:p>
      <w:pPr>
        <w:pStyle w:val="2"/>
        <w:spacing w:line="360" w:lineRule="auto"/>
      </w:pPr>
      <w:bookmarkStart w:id="2" w:name="_Toc67447818"/>
      <w:bookmarkStart w:id="3" w:name="_Toc181435587"/>
      <w:r>
        <w:rPr>
          <w:rFonts w:hint="eastAsia"/>
        </w:rPr>
        <w:t>服务提供方</w:t>
      </w:r>
      <w:bookmarkEnd w:id="2"/>
      <w:bookmarkEnd w:id="3"/>
    </w:p>
    <w:p>
      <w:pPr>
        <w:pStyle w:val="22"/>
        <w:ind w:firstLine="420" w:firstLineChars="200"/>
        <w:jc w:val="both"/>
        <w:rPr>
          <w:rFonts w:ascii="宋体" w:hAnsi="宋体"/>
          <w:b w:val="0"/>
          <w:sz w:val="21"/>
        </w:rPr>
      </w:pPr>
      <w:r>
        <w:rPr>
          <w:rFonts w:hint="eastAsia" w:ascii="宋体" w:hAnsi="宋体"/>
          <w:b w:val="0"/>
          <w:sz w:val="21"/>
        </w:rPr>
        <w:t>有机房环境系统建设和运行维护经验及资质的公司，以下简称乙方。</w:t>
      </w:r>
    </w:p>
    <w:p>
      <w:pPr>
        <w:pStyle w:val="2"/>
        <w:spacing w:line="360" w:lineRule="auto"/>
      </w:pPr>
      <w:bookmarkStart w:id="4" w:name="_Toc67447819"/>
      <w:bookmarkStart w:id="5" w:name="_Toc181435588"/>
      <w:r>
        <w:rPr>
          <w:rFonts w:hint="eastAsia"/>
        </w:rPr>
        <w:t>乙方服务范围</w:t>
      </w:r>
      <w:bookmarkEnd w:id="4"/>
      <w:bookmarkEnd w:id="5"/>
    </w:p>
    <w:p>
      <w:pPr>
        <w:tabs>
          <w:tab w:val="left" w:pos="0"/>
        </w:tabs>
        <w:spacing w:line="360" w:lineRule="auto"/>
        <w:ind w:firstLine="420" w:firstLineChars="200"/>
      </w:pPr>
      <w:r>
        <w:rPr>
          <w:rFonts w:hint="eastAsia"/>
        </w:rPr>
        <w:t>本服务主要由以下几部分组成：</w:t>
      </w:r>
    </w:p>
    <w:p>
      <w:pPr>
        <w:tabs>
          <w:tab w:val="left" w:pos="0"/>
        </w:tabs>
        <w:spacing w:line="360" w:lineRule="auto"/>
        <w:ind w:firstLine="420" w:firstLineChars="200"/>
        <w:rPr>
          <w:bCs/>
        </w:rPr>
      </w:pPr>
      <w:r>
        <w:rPr>
          <w:rFonts w:hint="eastAsia"/>
        </w:rPr>
        <w:t>提供位于甲方所在地</w:t>
      </w:r>
      <w:r>
        <w:rPr>
          <w:rFonts w:hint="eastAsia"/>
          <w:bCs/>
        </w:rPr>
        <w:t>（厦门市思明区鹭江道98号）的建行厦门市分行中心机房的装修及专业保洁、供配电系统、照明系统、防雷接地系统、精密空调系统、排气系统（含消防排烟系统）、综合布线、门禁系统、大屏系统、操作服务台系统等</w:t>
      </w:r>
      <w:r>
        <w:rPr>
          <w:rFonts w:hint="eastAsia" w:ascii="宋体" w:hAnsi="宋体"/>
        </w:rPr>
        <w:t>相关设备硬件、系统的维保服务</w:t>
      </w:r>
      <w:r>
        <w:rPr>
          <w:rFonts w:hint="eastAsia"/>
          <w:bCs/>
        </w:rPr>
        <w:t>。</w:t>
      </w:r>
    </w:p>
    <w:p>
      <w:pPr>
        <w:tabs>
          <w:tab w:val="left" w:pos="0"/>
        </w:tabs>
        <w:spacing w:line="360" w:lineRule="auto"/>
        <w:ind w:firstLine="420" w:firstLineChars="200"/>
        <w:rPr>
          <w:bCs/>
        </w:rPr>
      </w:pPr>
      <w:r>
        <w:rPr>
          <w:rFonts w:hint="eastAsia"/>
          <w:bCs/>
        </w:rPr>
        <w:t>具体的维护设备明细及服务需求见附件《</w:t>
      </w:r>
      <w:r>
        <w:rPr>
          <w:rFonts w:hint="eastAsia"/>
        </w:rPr>
        <w:t>厦门建行中心机房2025-2027年度环境设施维护服务项目工作量清单</w:t>
      </w:r>
      <w:r>
        <w:rPr>
          <w:rFonts w:hint="eastAsia"/>
          <w:bCs/>
        </w:rPr>
        <w:t>》和《厦门建行中心机房2025-2027年度环境设施维护服务工作详细要求》。</w:t>
      </w:r>
    </w:p>
    <w:p>
      <w:pPr>
        <w:tabs>
          <w:tab w:val="left" w:pos="0"/>
        </w:tabs>
        <w:spacing w:line="360" w:lineRule="auto"/>
        <w:ind w:firstLine="420" w:firstLineChars="200"/>
        <w:rPr>
          <w:bCs/>
        </w:rPr>
      </w:pPr>
      <w:r>
        <w:rPr>
          <w:bCs/>
        </w:rPr>
        <w:object>
          <v:shape id="_x0000_i1025" o:spt="75" type="#_x0000_t75" style="height:46.5pt;width:75.75pt;" o:ole="t" filled="f" o:preferrelative="t" stroked="f" coordsize="21600,21600">
            <v:path/>
            <v:fill on="f" focussize="0,0"/>
            <v:stroke on="f" joinstyle="miter"/>
            <v:imagedata r:id="rId15" o:title=""/>
            <o:lock v:ext="edit" aspectratio="t"/>
            <w10:wrap type="none"/>
            <w10:anchorlock/>
          </v:shape>
          <o:OLEObject Type="Embed" ProgID="Excel.Sheet.12" ShapeID="_x0000_i1025" DrawAspect="Icon" ObjectID="_1468075725" r:id="rId14">
            <o:LockedField>false</o:LockedField>
          </o:OLEObject>
        </w:object>
      </w:r>
    </w:p>
    <w:p>
      <w:pPr>
        <w:tabs>
          <w:tab w:val="left" w:pos="0"/>
        </w:tabs>
        <w:spacing w:line="360" w:lineRule="auto"/>
        <w:ind w:firstLine="420" w:firstLineChars="200"/>
        <w:rPr>
          <w:bCs/>
        </w:rPr>
      </w:pPr>
    </w:p>
    <w:p>
      <w:pPr>
        <w:tabs>
          <w:tab w:val="left" w:pos="0"/>
        </w:tabs>
        <w:spacing w:line="360" w:lineRule="auto"/>
        <w:ind w:firstLine="420" w:firstLineChars="200"/>
        <w:rPr>
          <w:bCs/>
        </w:rPr>
      </w:pPr>
      <w:bookmarkStart w:id="6" w:name="_MON_1791928844"/>
      <w:bookmarkEnd w:id="6"/>
      <w:r>
        <w:rPr>
          <w:bCs/>
        </w:rPr>
        <w:object>
          <v:shape id="_x0000_i1026" o:spt="75" type="#_x0000_t75" style="height:46.5pt;width:75.75pt;" o:ole="t" filled="f" o:preferrelative="t" stroked="f" coordsize="21600,21600">
            <v:path/>
            <v:fill on="f" focussize="0,0"/>
            <v:stroke on="f" joinstyle="miter"/>
            <v:imagedata r:id="rId17" o:title=""/>
            <o:lock v:ext="edit" aspectratio="t"/>
            <w10:wrap type="none"/>
            <w10:anchorlock/>
          </v:shape>
          <o:OLEObject Type="Embed" ProgID="Word.Document.8" ShapeID="_x0000_i1026" DrawAspect="Icon" ObjectID="_1468075726" r:id="rId16">
            <o:LockedField>false</o:LockedField>
          </o:OLEObject>
        </w:object>
      </w:r>
    </w:p>
    <w:p>
      <w:pPr>
        <w:pStyle w:val="2"/>
        <w:spacing w:line="360" w:lineRule="auto"/>
      </w:pPr>
      <w:bookmarkStart w:id="7" w:name="_Toc181435589"/>
      <w:bookmarkStart w:id="8" w:name="_Toc67447820"/>
      <w:r>
        <w:rPr>
          <w:rFonts w:hint="eastAsia"/>
        </w:rPr>
        <w:t>乙方服务内容及方式</w:t>
      </w:r>
      <w:bookmarkEnd w:id="7"/>
      <w:bookmarkEnd w:id="8"/>
    </w:p>
    <w:p>
      <w:pPr>
        <w:pStyle w:val="22"/>
        <w:adjustRightInd w:val="0"/>
        <w:snapToGrid w:val="0"/>
        <w:spacing w:before="100" w:beforeAutospacing="1" w:after="100" w:afterAutospacing="1"/>
        <w:ind w:firstLine="420" w:firstLineChars="200"/>
        <w:jc w:val="both"/>
        <w:rPr>
          <w:rFonts w:ascii="宋体" w:hAnsi="宋体"/>
          <w:b w:val="0"/>
          <w:sz w:val="21"/>
        </w:rPr>
      </w:pPr>
      <w:r>
        <w:rPr>
          <w:rFonts w:hint="eastAsia" w:ascii="宋体" w:hAnsi="宋体"/>
          <w:b w:val="0"/>
          <w:sz w:val="21"/>
        </w:rPr>
        <w:t>乙方为甲方提供以下服务方式：</w:t>
      </w:r>
    </w:p>
    <w:p>
      <w:pPr>
        <w:pStyle w:val="3"/>
        <w:numPr>
          <w:ilvl w:val="0"/>
          <w:numId w:val="2"/>
        </w:numPr>
        <w:adjustRightInd w:val="0"/>
        <w:snapToGrid w:val="0"/>
        <w:spacing w:before="100" w:beforeAutospacing="1" w:after="100" w:afterAutospacing="1" w:line="360" w:lineRule="auto"/>
        <w:rPr>
          <w:b w:val="0"/>
          <w:sz w:val="30"/>
          <w:szCs w:val="30"/>
        </w:rPr>
      </w:pPr>
      <w:bookmarkStart w:id="9" w:name="_Toc181435590"/>
      <w:bookmarkStart w:id="10" w:name="_Toc360457183"/>
      <w:r>
        <w:rPr>
          <w:rFonts w:hint="eastAsia"/>
          <w:b w:val="0"/>
          <w:sz w:val="30"/>
          <w:szCs w:val="30"/>
        </w:rPr>
        <w:t>7×24热线服务。</w:t>
      </w:r>
      <w:bookmarkEnd w:id="9"/>
    </w:p>
    <w:p>
      <w:pPr>
        <w:pStyle w:val="22"/>
        <w:spacing w:before="100" w:beforeAutospacing="1" w:after="100" w:afterAutospacing="1"/>
        <w:ind w:firstLine="420" w:firstLineChars="200"/>
        <w:jc w:val="both"/>
        <w:rPr>
          <w:rFonts w:ascii="宋体" w:hAnsi="宋体"/>
          <w:b w:val="0"/>
          <w:sz w:val="21"/>
        </w:rPr>
      </w:pPr>
      <w:r>
        <w:rPr>
          <w:rFonts w:hint="eastAsia" w:ascii="宋体" w:hAnsi="宋体"/>
          <w:b w:val="0"/>
          <w:sz w:val="21"/>
        </w:rPr>
        <w:t>乙方为甲方提供专门的支持服务电话，进行365×7×24小时的电话技术支持和故障报修。</w:t>
      </w:r>
    </w:p>
    <w:p>
      <w:pPr>
        <w:pStyle w:val="3"/>
        <w:numPr>
          <w:ilvl w:val="0"/>
          <w:numId w:val="2"/>
        </w:numPr>
        <w:adjustRightInd w:val="0"/>
        <w:snapToGrid w:val="0"/>
        <w:spacing w:before="100" w:beforeAutospacing="1" w:after="100" w:afterAutospacing="1" w:line="360" w:lineRule="auto"/>
        <w:rPr>
          <w:b w:val="0"/>
          <w:sz w:val="30"/>
          <w:szCs w:val="30"/>
        </w:rPr>
      </w:pPr>
      <w:bookmarkStart w:id="11" w:name="_Toc181435591"/>
      <w:r>
        <w:rPr>
          <w:rFonts w:hint="eastAsia"/>
          <w:b w:val="0"/>
          <w:sz w:val="30"/>
          <w:szCs w:val="30"/>
        </w:rPr>
        <w:t>7×24×2×4及7×24×4×48上门维修服务</w:t>
      </w:r>
      <w:bookmarkEnd w:id="10"/>
      <w:bookmarkEnd w:id="11"/>
    </w:p>
    <w:p>
      <w:pPr>
        <w:pStyle w:val="22"/>
        <w:adjustRightInd w:val="0"/>
        <w:snapToGrid w:val="0"/>
        <w:spacing w:before="0" w:after="0"/>
        <w:ind w:firstLine="420" w:firstLineChars="200"/>
        <w:jc w:val="both"/>
        <w:rPr>
          <w:rFonts w:ascii="宋体" w:hAnsi="宋体"/>
          <w:b w:val="0"/>
          <w:sz w:val="21"/>
        </w:rPr>
      </w:pPr>
      <w:r>
        <w:rPr>
          <w:rFonts w:hint="eastAsia" w:ascii="宋体" w:hAnsi="宋体"/>
          <w:b w:val="0"/>
          <w:sz w:val="21"/>
        </w:rPr>
        <w:t>根据甲方提供的《厦门市分行中心机房环境设施年维护明细表》，针对不同的设备和故障级别，乙方应提供7×24×2×4及7×24×4×48两种级别的上门维修服务。即乙方在接到甲方故障报告后，根据故障设备的维保服务要求，安排维修人员，于乙方承诺时间内到达现场，对常见故障实施现场维修和零部件更换。</w:t>
      </w:r>
    </w:p>
    <w:p>
      <w:pPr>
        <w:pStyle w:val="22"/>
        <w:adjustRightInd w:val="0"/>
        <w:snapToGrid w:val="0"/>
        <w:spacing w:before="0" w:after="0"/>
        <w:ind w:firstLine="420" w:firstLineChars="200"/>
        <w:jc w:val="both"/>
        <w:rPr>
          <w:rFonts w:ascii="宋体" w:hAnsi="宋体"/>
          <w:b w:val="0"/>
          <w:sz w:val="21"/>
        </w:rPr>
      </w:pPr>
      <w:r>
        <w:rPr>
          <w:rFonts w:hint="eastAsia" w:ascii="宋体" w:hAnsi="宋体"/>
          <w:b w:val="0"/>
          <w:sz w:val="21"/>
        </w:rPr>
        <w:t>对于维保级别为7×24×2×4的，应于2小时内响应并到达现场，到达现场后4小时内修复。若4小时内无法修复，提供免费配件更换；若特殊情况8小时无法恢复修复，免费提供代用设备或提供使设备正常运转的应急措施。对于维保级别为7×24×4×48的设备，应于4小时内响应并到达现场，到达现场后48小时内修复。若48小时内无法修复，应免费提供代用设备或提供使设备正常运转的应急措施。</w:t>
      </w:r>
    </w:p>
    <w:p>
      <w:pPr>
        <w:pStyle w:val="22"/>
        <w:adjustRightInd w:val="0"/>
        <w:snapToGrid w:val="0"/>
        <w:spacing w:before="0" w:after="0"/>
        <w:ind w:firstLine="420" w:firstLineChars="200"/>
        <w:jc w:val="both"/>
        <w:rPr>
          <w:rFonts w:ascii="宋体" w:hAnsi="宋体"/>
          <w:b w:val="0"/>
          <w:sz w:val="21"/>
        </w:rPr>
      </w:pPr>
      <w:r>
        <w:rPr>
          <w:rFonts w:hint="eastAsia" w:ascii="宋体" w:hAnsi="宋体"/>
          <w:b w:val="0"/>
          <w:sz w:val="21"/>
        </w:rPr>
        <w:t>乙方对所维修设备（所更换部件）提供为期</w:t>
      </w:r>
      <w:r>
        <w:rPr>
          <w:rFonts w:hint="eastAsia" w:ascii="宋体" w:hAnsi="宋体"/>
          <w:b w:val="0"/>
          <w:sz w:val="21"/>
          <w:u w:val="single"/>
        </w:rPr>
        <w:t>12</w:t>
      </w:r>
      <w:r>
        <w:rPr>
          <w:rFonts w:hint="eastAsia" w:ascii="宋体" w:hAnsi="宋体"/>
          <w:b w:val="0"/>
          <w:sz w:val="21"/>
        </w:rPr>
        <w:t>月的免费保修服务，在保修期内乙方所维修设备（或更换的部件）发生非人为故障，由乙方负责免费修复或更换。</w:t>
      </w:r>
    </w:p>
    <w:p>
      <w:pPr>
        <w:pStyle w:val="22"/>
        <w:adjustRightInd w:val="0"/>
        <w:snapToGrid w:val="0"/>
        <w:spacing w:before="0" w:after="0"/>
        <w:ind w:firstLine="420" w:firstLineChars="200"/>
        <w:jc w:val="both"/>
        <w:rPr>
          <w:rFonts w:ascii="宋体" w:hAnsi="宋体"/>
          <w:b w:val="0"/>
          <w:sz w:val="21"/>
        </w:rPr>
      </w:pPr>
      <w:r>
        <w:rPr>
          <w:rFonts w:hint="eastAsia" w:ascii="宋体" w:hAnsi="宋体"/>
          <w:b w:val="0"/>
          <w:sz w:val="21"/>
        </w:rPr>
        <w:t>备注：更换配件若行业规定长于12个月的免费保修服务，按行业规定执行。</w:t>
      </w:r>
    </w:p>
    <w:p>
      <w:pPr>
        <w:pStyle w:val="3"/>
        <w:numPr>
          <w:ilvl w:val="0"/>
          <w:numId w:val="2"/>
        </w:numPr>
        <w:adjustRightInd w:val="0"/>
        <w:snapToGrid w:val="0"/>
        <w:spacing w:before="100" w:beforeAutospacing="1" w:after="100" w:afterAutospacing="1" w:line="360" w:lineRule="auto"/>
        <w:rPr>
          <w:b w:val="0"/>
          <w:sz w:val="30"/>
          <w:szCs w:val="30"/>
        </w:rPr>
      </w:pPr>
      <w:bookmarkStart w:id="12" w:name="_Toc181435592"/>
      <w:r>
        <w:rPr>
          <w:rFonts w:hint="eastAsia"/>
          <w:b w:val="0"/>
          <w:sz w:val="30"/>
          <w:szCs w:val="30"/>
        </w:rPr>
        <w:t>预防性巡检、保养维护服务</w:t>
      </w:r>
      <w:bookmarkEnd w:id="12"/>
    </w:p>
    <w:p>
      <w:pPr>
        <w:pStyle w:val="22"/>
        <w:spacing w:before="100" w:beforeAutospacing="1" w:after="100" w:afterAutospacing="1"/>
        <w:ind w:firstLine="420" w:firstLineChars="200"/>
        <w:jc w:val="both"/>
        <w:rPr>
          <w:rFonts w:ascii="宋体" w:hAnsi="宋体"/>
          <w:b w:val="0"/>
          <w:sz w:val="21"/>
        </w:rPr>
      </w:pPr>
      <w:r>
        <w:rPr>
          <w:rFonts w:hint="eastAsia" w:ascii="宋体" w:hAnsi="宋体"/>
          <w:b w:val="0"/>
          <w:sz w:val="21"/>
        </w:rPr>
        <w:t>乙方每季度派遣服务团队进行一次机房整体预防性巡检维护，针对服务范围内各系统和设备进行深度的检查和维护，记录设备运行状态，及时发现存在的问题和故障隐患，出具巡检报告。</w:t>
      </w:r>
    </w:p>
    <w:p>
      <w:pPr>
        <w:pStyle w:val="3"/>
        <w:numPr>
          <w:ilvl w:val="0"/>
          <w:numId w:val="2"/>
        </w:numPr>
        <w:adjustRightInd w:val="0"/>
        <w:snapToGrid w:val="0"/>
        <w:spacing w:before="100" w:beforeAutospacing="1" w:after="100" w:afterAutospacing="1" w:line="360" w:lineRule="auto"/>
        <w:rPr>
          <w:b w:val="0"/>
          <w:sz w:val="30"/>
          <w:szCs w:val="30"/>
        </w:rPr>
      </w:pPr>
      <w:bookmarkStart w:id="13" w:name="_Toc181435593"/>
      <w:r>
        <w:rPr>
          <w:rFonts w:hint="eastAsia"/>
          <w:b w:val="0"/>
          <w:sz w:val="30"/>
          <w:szCs w:val="30"/>
        </w:rPr>
        <w:t>工程师现场支持服务</w:t>
      </w:r>
      <w:bookmarkEnd w:id="13"/>
    </w:p>
    <w:p>
      <w:pPr>
        <w:pStyle w:val="22"/>
        <w:adjustRightInd w:val="0"/>
        <w:snapToGrid w:val="0"/>
        <w:spacing w:before="0" w:after="0"/>
        <w:ind w:firstLine="420" w:firstLineChars="200"/>
        <w:jc w:val="both"/>
        <w:rPr>
          <w:rFonts w:ascii="宋体" w:hAnsi="宋体"/>
          <w:b w:val="0"/>
          <w:sz w:val="21"/>
        </w:rPr>
      </w:pPr>
      <w:r>
        <w:rPr>
          <w:rFonts w:hint="eastAsia" w:ascii="宋体" w:hAnsi="宋体"/>
          <w:b w:val="0"/>
          <w:sz w:val="21"/>
        </w:rPr>
        <w:t>根据用户机房运维管理的需要，当用户进行系统升级、临时停机维护、应急演练、重要设备搬迁、市电倒闸切换或其他重大事项（如台风等恶劣自然天气）时，乙方提供工程师现场保障服务，同时根据用户要去，按需加派资深专业人员到现场实施服务。</w:t>
      </w:r>
    </w:p>
    <w:p>
      <w:pPr>
        <w:pStyle w:val="3"/>
        <w:numPr>
          <w:ilvl w:val="0"/>
          <w:numId w:val="2"/>
        </w:numPr>
        <w:adjustRightInd w:val="0"/>
        <w:snapToGrid w:val="0"/>
        <w:spacing w:before="100" w:beforeAutospacing="1" w:after="100" w:afterAutospacing="1" w:line="360" w:lineRule="auto"/>
        <w:rPr>
          <w:b w:val="0"/>
          <w:sz w:val="30"/>
          <w:szCs w:val="30"/>
        </w:rPr>
      </w:pPr>
      <w:bookmarkStart w:id="14" w:name="_Toc181435594"/>
      <w:r>
        <w:rPr>
          <w:rFonts w:hint="eastAsia"/>
          <w:b w:val="0"/>
          <w:sz w:val="30"/>
          <w:szCs w:val="30"/>
        </w:rPr>
        <w:t>关键备件保障服务</w:t>
      </w:r>
      <w:bookmarkEnd w:id="14"/>
    </w:p>
    <w:p>
      <w:pPr>
        <w:pStyle w:val="22"/>
        <w:adjustRightInd w:val="0"/>
        <w:snapToGrid w:val="0"/>
        <w:spacing w:before="0" w:after="0"/>
        <w:ind w:firstLine="420" w:firstLineChars="200"/>
        <w:jc w:val="both"/>
        <w:rPr>
          <w:rFonts w:ascii="宋体" w:hAnsi="宋体"/>
          <w:b w:val="0"/>
          <w:sz w:val="21"/>
        </w:rPr>
      </w:pPr>
      <w:r>
        <w:rPr>
          <w:rFonts w:hint="eastAsia" w:ascii="宋体" w:hAnsi="宋体"/>
          <w:b w:val="0"/>
          <w:sz w:val="21"/>
        </w:rPr>
        <w:t>乙方需有广泛的备件供应渠道，可以快捷、方便、及时地采购维修服务所需的备品备件，以保证充足的备件支持。并依据不同的服务保障要求在现场人员到达时承诺相应的备件到达时间。</w:t>
      </w:r>
    </w:p>
    <w:p>
      <w:pPr>
        <w:pStyle w:val="22"/>
        <w:adjustRightInd w:val="0"/>
        <w:snapToGrid w:val="0"/>
        <w:spacing w:before="0" w:after="0"/>
        <w:ind w:firstLine="420" w:firstLineChars="200"/>
        <w:jc w:val="both"/>
        <w:rPr>
          <w:rFonts w:ascii="宋体" w:hAnsi="宋体"/>
          <w:b w:val="0"/>
          <w:sz w:val="21"/>
        </w:rPr>
      </w:pPr>
      <w:r>
        <w:rPr>
          <w:rFonts w:hint="eastAsia" w:ascii="宋体" w:hAnsi="宋体"/>
          <w:b w:val="0"/>
          <w:sz w:val="21"/>
        </w:rPr>
        <w:t>为确保相关设备的维修时限，乙方需在甲方现场的场所储备常见故障维修所需的关键及常用备件。</w:t>
      </w:r>
      <w:r>
        <w:rPr>
          <w:rFonts w:hint="eastAsia" w:ascii="宋体" w:hAnsi="宋体"/>
          <w:sz w:val="21"/>
        </w:rPr>
        <w:t>关键备件包括但不限于：海洛斯精密空调压缩机2台、室外风机2台、空调滤网20片、干燥过滤器2个、管道电磁阀2个，艾默生精密空调下沉式EC风机2台、压缩机2台、室外风机2台、空调滤网40片、加湿器给水电磁阀10个、水位传感器2个，24V直流电源2个、12V直流电源10个等。关键备件归乙方所有，如被用于故障更换，自更换完成开始计算免费维保服务期限。</w:t>
      </w:r>
    </w:p>
    <w:p>
      <w:pPr>
        <w:pStyle w:val="22"/>
        <w:adjustRightInd w:val="0"/>
        <w:snapToGrid w:val="0"/>
        <w:spacing w:before="0" w:after="0"/>
        <w:ind w:firstLine="420" w:firstLineChars="200"/>
        <w:jc w:val="both"/>
        <w:rPr>
          <w:rFonts w:ascii="宋体" w:hAnsi="宋体"/>
          <w:b w:val="0"/>
          <w:sz w:val="21"/>
        </w:rPr>
      </w:pPr>
      <w:r>
        <w:rPr>
          <w:rFonts w:hint="eastAsia" w:ascii="宋体" w:hAnsi="宋体"/>
          <w:b w:val="0"/>
          <w:sz w:val="21"/>
        </w:rPr>
        <w:t>如乙方技术或备件能力不能满足甲方设备维护工作需要时，甲方有权另请他方完成，所发生的费用由乙方承担。</w:t>
      </w:r>
    </w:p>
    <w:p>
      <w:pPr>
        <w:pStyle w:val="3"/>
        <w:numPr>
          <w:ilvl w:val="0"/>
          <w:numId w:val="2"/>
        </w:numPr>
        <w:adjustRightInd w:val="0"/>
        <w:snapToGrid w:val="0"/>
        <w:spacing w:before="100" w:beforeAutospacing="1" w:after="100" w:afterAutospacing="1" w:line="360" w:lineRule="auto"/>
        <w:rPr>
          <w:b w:val="0"/>
          <w:sz w:val="30"/>
          <w:szCs w:val="30"/>
        </w:rPr>
      </w:pPr>
      <w:bookmarkStart w:id="15" w:name="_Toc181435595"/>
      <w:r>
        <w:rPr>
          <w:rFonts w:hint="eastAsia"/>
          <w:b w:val="0"/>
          <w:sz w:val="30"/>
          <w:szCs w:val="30"/>
        </w:rPr>
        <w:t>机房改造、扩容咨询服务</w:t>
      </w:r>
      <w:bookmarkEnd w:id="15"/>
    </w:p>
    <w:p>
      <w:pPr>
        <w:pStyle w:val="22"/>
        <w:spacing w:before="100" w:beforeAutospacing="1" w:after="100" w:afterAutospacing="1"/>
        <w:ind w:firstLine="420" w:firstLineChars="200"/>
        <w:jc w:val="both"/>
        <w:rPr>
          <w:rFonts w:ascii="宋体" w:hAnsi="宋体"/>
          <w:b w:val="0"/>
          <w:sz w:val="21"/>
        </w:rPr>
      </w:pPr>
      <w:r>
        <w:rPr>
          <w:rFonts w:hint="eastAsia" w:ascii="宋体" w:hAnsi="宋体"/>
          <w:b w:val="0"/>
          <w:sz w:val="21"/>
        </w:rPr>
        <w:t>免费为用户提供厦门分行机房进行各类改造升级等给出设计方案，例如消防改造升级，VRV空调改造升级等，在改造过程中配合相关施工内容。</w:t>
      </w:r>
    </w:p>
    <w:p>
      <w:pPr>
        <w:pStyle w:val="3"/>
        <w:numPr>
          <w:ilvl w:val="0"/>
          <w:numId w:val="2"/>
        </w:numPr>
        <w:adjustRightInd w:val="0"/>
        <w:snapToGrid w:val="0"/>
        <w:spacing w:before="100" w:beforeAutospacing="1" w:after="100" w:afterAutospacing="1" w:line="360" w:lineRule="auto"/>
        <w:rPr>
          <w:b w:val="0"/>
          <w:sz w:val="30"/>
          <w:szCs w:val="30"/>
        </w:rPr>
      </w:pPr>
      <w:bookmarkStart w:id="16" w:name="_Toc181435596"/>
      <w:r>
        <w:rPr>
          <w:rFonts w:hint="eastAsia"/>
          <w:b w:val="0"/>
          <w:sz w:val="30"/>
          <w:szCs w:val="30"/>
        </w:rPr>
        <w:t>技术交流和培训服务</w:t>
      </w:r>
      <w:bookmarkEnd w:id="16"/>
    </w:p>
    <w:p>
      <w:pPr>
        <w:pStyle w:val="22"/>
        <w:spacing w:before="100" w:beforeAutospacing="1" w:after="100" w:afterAutospacing="1"/>
        <w:ind w:firstLine="420" w:firstLineChars="200"/>
        <w:jc w:val="both"/>
        <w:rPr>
          <w:rFonts w:ascii="宋体" w:hAnsi="宋体"/>
          <w:b w:val="0"/>
          <w:sz w:val="21"/>
        </w:rPr>
      </w:pPr>
      <w:r>
        <w:rPr>
          <w:rFonts w:hint="eastAsia" w:ascii="宋体" w:hAnsi="宋体"/>
          <w:b w:val="0"/>
          <w:sz w:val="21"/>
        </w:rPr>
        <w:t>乙方免费为甲方提供</w:t>
      </w:r>
      <w:r>
        <w:rPr>
          <w:rFonts w:ascii="宋体" w:hAnsi="宋体"/>
          <w:b w:val="0"/>
          <w:sz w:val="21"/>
        </w:rPr>
        <w:t>/</w:t>
      </w:r>
      <w:r>
        <w:rPr>
          <w:rFonts w:hint="eastAsia" w:ascii="宋体" w:hAnsi="宋体"/>
          <w:b w:val="0"/>
          <w:sz w:val="21"/>
        </w:rPr>
        <w:t>组织不少于1次与机房技术及维保相关交流和培训。</w:t>
      </w:r>
    </w:p>
    <w:p>
      <w:pPr>
        <w:pStyle w:val="3"/>
        <w:numPr>
          <w:ilvl w:val="0"/>
          <w:numId w:val="2"/>
        </w:numPr>
        <w:adjustRightInd w:val="0"/>
        <w:snapToGrid w:val="0"/>
        <w:spacing w:before="100" w:beforeAutospacing="1" w:after="100" w:afterAutospacing="1" w:line="360" w:lineRule="auto"/>
        <w:rPr>
          <w:b w:val="0"/>
          <w:sz w:val="30"/>
          <w:szCs w:val="30"/>
        </w:rPr>
      </w:pPr>
      <w:bookmarkStart w:id="17" w:name="_Toc181435597"/>
      <w:r>
        <w:rPr>
          <w:rFonts w:hint="eastAsia"/>
          <w:b w:val="0"/>
          <w:sz w:val="30"/>
          <w:szCs w:val="30"/>
        </w:rPr>
        <w:t>数据中心检测服务</w:t>
      </w:r>
      <w:bookmarkEnd w:id="17"/>
    </w:p>
    <w:p>
      <w:pPr>
        <w:pStyle w:val="22"/>
        <w:spacing w:before="100" w:beforeAutospacing="1" w:after="100" w:afterAutospacing="1"/>
        <w:ind w:firstLine="420" w:firstLineChars="200"/>
        <w:jc w:val="both"/>
        <w:rPr>
          <w:rFonts w:ascii="宋体" w:hAnsi="宋体"/>
          <w:b w:val="0"/>
          <w:sz w:val="21"/>
        </w:rPr>
      </w:pPr>
      <w:r>
        <w:rPr>
          <w:rFonts w:hint="eastAsia" w:ascii="宋体" w:hAnsi="宋体"/>
          <w:b w:val="0"/>
          <w:sz w:val="21"/>
        </w:rPr>
        <w:t>乙方须每年提供一次数据中心第三方检测服务，检测单位需具备CMA、CNAS资质，出具年度机房检测报告。</w:t>
      </w:r>
    </w:p>
    <w:p>
      <w:pPr>
        <w:pStyle w:val="3"/>
        <w:numPr>
          <w:ilvl w:val="0"/>
          <w:numId w:val="2"/>
        </w:numPr>
        <w:adjustRightInd w:val="0"/>
        <w:snapToGrid w:val="0"/>
        <w:spacing w:before="100" w:beforeAutospacing="1" w:after="100" w:afterAutospacing="1" w:line="360" w:lineRule="auto"/>
        <w:rPr>
          <w:b w:val="0"/>
          <w:sz w:val="30"/>
          <w:szCs w:val="30"/>
        </w:rPr>
      </w:pPr>
      <w:bookmarkStart w:id="18" w:name="_Toc181435598"/>
      <w:r>
        <w:rPr>
          <w:rFonts w:hint="eastAsia"/>
          <w:b w:val="0"/>
          <w:sz w:val="30"/>
          <w:szCs w:val="30"/>
        </w:rPr>
        <w:t>数据中心延保服务</w:t>
      </w:r>
      <w:bookmarkEnd w:id="18"/>
    </w:p>
    <w:p>
      <w:pPr>
        <w:pStyle w:val="22"/>
        <w:spacing w:before="100" w:beforeAutospacing="1" w:after="100" w:afterAutospacing="1"/>
        <w:ind w:firstLine="420" w:firstLineChars="200"/>
        <w:jc w:val="both"/>
        <w:rPr>
          <w:rFonts w:ascii="宋体" w:hAnsi="宋体"/>
          <w:b w:val="0"/>
          <w:sz w:val="21"/>
        </w:rPr>
      </w:pPr>
      <w:r>
        <w:rPr>
          <w:rFonts w:hint="eastAsia" w:ascii="宋体" w:hAnsi="宋体"/>
          <w:b w:val="0"/>
          <w:sz w:val="21"/>
        </w:rPr>
        <w:t>目前，厦门分行中心机房正在执行厦门分行2024年中心机房改造项目，附件二中厦门市分行中心机房环境设施管理延保工作清单为项目拟拆除设备，在项目完工验收前仍需要维保厂商进行维保。</w:t>
      </w:r>
    </w:p>
    <w:p>
      <w:pPr>
        <w:pStyle w:val="2"/>
        <w:spacing w:line="360" w:lineRule="auto"/>
      </w:pPr>
      <w:bookmarkStart w:id="19" w:name="_Toc67447824"/>
      <w:bookmarkStart w:id="20" w:name="_Toc181435599"/>
      <w:r>
        <w:rPr>
          <w:rFonts w:hint="eastAsia"/>
        </w:rPr>
        <w:t>乙方服务目标承诺</w:t>
      </w:r>
      <w:bookmarkEnd w:id="19"/>
      <w:bookmarkEnd w:id="20"/>
    </w:p>
    <w:p>
      <w:pPr>
        <w:pStyle w:val="3"/>
        <w:spacing w:line="360" w:lineRule="auto"/>
      </w:pPr>
      <w:bookmarkStart w:id="21" w:name="_Toc181435600"/>
      <w:bookmarkStart w:id="22" w:name="_Toc67447825"/>
      <w:r>
        <w:rPr>
          <w:rFonts w:hint="eastAsia"/>
        </w:rPr>
        <w:t>事件级别定义</w:t>
      </w:r>
      <w:bookmarkEnd w:id="21"/>
      <w:bookmarkEnd w:id="22"/>
    </w:p>
    <w:p>
      <w:pPr>
        <w:spacing w:line="360" w:lineRule="auto"/>
      </w:pPr>
      <w:r>
        <w:rPr>
          <w:rFonts w:hint="eastAsia"/>
        </w:rPr>
        <w:t>根据事件对于业务的影响程度，将事件级别分成四个级别，如下表：</w:t>
      </w:r>
    </w:p>
    <w:tbl>
      <w:tblPr>
        <w:tblStyle w:val="24"/>
        <w:tblW w:w="8208" w:type="dxa"/>
        <w:tblInd w:w="42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57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CCCCCC"/>
            <w:vAlign w:val="center"/>
          </w:tcPr>
          <w:p>
            <w:pPr>
              <w:adjustRightInd w:val="0"/>
              <w:snapToGrid w:val="0"/>
              <w:spacing w:line="360" w:lineRule="auto"/>
              <w:jc w:val="center"/>
            </w:pPr>
            <w:r>
              <w:rPr>
                <w:rFonts w:hint="eastAsia"/>
              </w:rPr>
              <w:t>故障级别</w:t>
            </w:r>
          </w:p>
        </w:tc>
        <w:tc>
          <w:tcPr>
            <w:tcW w:w="2700" w:type="dxa"/>
            <w:shd w:val="clear" w:color="auto" w:fill="CCCCCC"/>
            <w:vAlign w:val="center"/>
          </w:tcPr>
          <w:p>
            <w:pPr>
              <w:adjustRightInd w:val="0"/>
              <w:snapToGrid w:val="0"/>
              <w:spacing w:line="360" w:lineRule="auto"/>
              <w:jc w:val="center"/>
            </w:pPr>
            <w:r>
              <w:rPr>
                <w:rFonts w:hint="eastAsia"/>
              </w:rPr>
              <w:t>故障内容（列举但不限于）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1188" w:type="dxa"/>
            <w:vAlign w:val="center"/>
          </w:tcPr>
          <w:p>
            <w:pPr>
              <w:adjustRightInd w:val="0"/>
              <w:snapToGrid w:val="0"/>
              <w:spacing w:line="360" w:lineRule="auto"/>
              <w:jc w:val="center"/>
            </w:pPr>
            <w:r>
              <w:rPr>
                <w:rFonts w:hint="eastAsia"/>
              </w:rPr>
              <w:t>一级故障</w:t>
            </w:r>
          </w:p>
        </w:tc>
        <w:tc>
          <w:tcPr>
            <w:tcW w:w="2700" w:type="dxa"/>
            <w:vAlign w:val="center"/>
          </w:tcPr>
          <w:p>
            <w:pPr>
              <w:adjustRightInd w:val="0"/>
              <w:snapToGrid w:val="0"/>
              <w:spacing w:line="360" w:lineRule="auto"/>
            </w:pPr>
            <w:r>
              <w:rPr>
                <w:rFonts w:hint="eastAsia"/>
              </w:rPr>
              <w:t>紧急问题：系统故障导致导致机房重要IT设备停止、数据可能丢失，性能严重下降影响业务正常运作。例如机房输入配电屏、UPS输出分配柜、UPS并机柜、机房空调动力配电柜、等故障；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188" w:type="dxa"/>
            <w:vAlign w:val="center"/>
          </w:tcPr>
          <w:p>
            <w:pPr>
              <w:adjustRightInd w:val="0"/>
              <w:snapToGrid w:val="0"/>
              <w:spacing w:line="360" w:lineRule="auto"/>
              <w:jc w:val="center"/>
            </w:pPr>
            <w:r>
              <w:rPr>
                <w:rFonts w:hint="eastAsia"/>
              </w:rPr>
              <w:t>二级故障</w:t>
            </w:r>
          </w:p>
        </w:tc>
        <w:tc>
          <w:tcPr>
            <w:tcW w:w="2700" w:type="dxa"/>
            <w:vAlign w:val="center"/>
          </w:tcPr>
          <w:p>
            <w:pPr>
              <w:adjustRightInd w:val="0"/>
              <w:snapToGrid w:val="0"/>
              <w:spacing w:line="360" w:lineRule="auto"/>
            </w:pPr>
            <w:r>
              <w:rPr>
                <w:rFonts w:hint="eastAsia"/>
              </w:rPr>
              <w:t>严重问题：部分部件失效、系统性能下降但不影响正常业务运作。例如配电柜单个空开发生故障、同一区域内两台以上空调同时发生故障等；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188" w:type="dxa"/>
            <w:vAlign w:val="center"/>
          </w:tcPr>
          <w:p>
            <w:pPr>
              <w:adjustRightInd w:val="0"/>
              <w:snapToGrid w:val="0"/>
              <w:spacing w:line="360" w:lineRule="auto"/>
              <w:jc w:val="center"/>
            </w:pPr>
            <w:r>
              <w:rPr>
                <w:rFonts w:hint="eastAsia"/>
              </w:rPr>
              <w:t>三级故障</w:t>
            </w:r>
          </w:p>
        </w:tc>
        <w:tc>
          <w:tcPr>
            <w:tcW w:w="2700" w:type="dxa"/>
            <w:vAlign w:val="center"/>
          </w:tcPr>
          <w:p>
            <w:pPr>
              <w:adjustRightInd w:val="0"/>
              <w:snapToGrid w:val="0"/>
              <w:spacing w:line="360" w:lineRule="auto"/>
            </w:pPr>
            <w:r>
              <w:rPr>
                <w:rFonts w:hint="eastAsia"/>
              </w:rPr>
              <w:t>较严重的问题：系统能继续运行且性能不受影响，但出现系统报错或部分部件故障，存在较大安全隐患。例如空调单台故障、智能化监控模块某一子系统故障等；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188" w:type="dxa"/>
            <w:vAlign w:val="center"/>
          </w:tcPr>
          <w:p>
            <w:pPr>
              <w:adjustRightInd w:val="0"/>
              <w:snapToGrid w:val="0"/>
              <w:spacing w:line="360" w:lineRule="auto"/>
              <w:jc w:val="center"/>
            </w:pPr>
            <w:r>
              <w:rPr>
                <w:rFonts w:hint="eastAsia"/>
              </w:rPr>
              <w:t>四级故障</w:t>
            </w:r>
          </w:p>
        </w:tc>
        <w:tc>
          <w:tcPr>
            <w:tcW w:w="2700" w:type="dxa"/>
            <w:vAlign w:val="center"/>
          </w:tcPr>
          <w:p>
            <w:pPr>
              <w:adjustRightInd w:val="0"/>
              <w:snapToGrid w:val="0"/>
              <w:spacing w:line="360" w:lineRule="auto"/>
            </w:pPr>
            <w:r>
              <w:rPr>
                <w:rFonts w:hint="eastAsia"/>
              </w:rPr>
              <w:t>普通问题：系统技术功能、安装、配置、机房扩容、改进等问题咨询，或其他显然不影响业务的预约服务。</w:t>
            </w:r>
          </w:p>
        </w:tc>
      </w:tr>
    </w:tbl>
    <w:p>
      <w:pPr>
        <w:spacing w:line="360" w:lineRule="auto"/>
      </w:pPr>
    </w:p>
    <w:p>
      <w:pPr>
        <w:pStyle w:val="3"/>
        <w:spacing w:line="360" w:lineRule="auto"/>
      </w:pPr>
      <w:bookmarkStart w:id="23" w:name="_Toc181435601"/>
      <w:bookmarkStart w:id="24" w:name="_Toc67447826"/>
      <w:r>
        <w:rPr>
          <w:rFonts w:hint="eastAsia"/>
        </w:rPr>
        <w:t>乙方服务目标承诺</w:t>
      </w:r>
      <w:bookmarkEnd w:id="23"/>
      <w:bookmarkEnd w:id="24"/>
    </w:p>
    <w:p>
      <w:pPr>
        <w:numPr>
          <w:ilvl w:val="0"/>
          <w:numId w:val="3"/>
        </w:numPr>
        <w:tabs>
          <w:tab w:val="left" w:pos="0"/>
        </w:tabs>
        <w:spacing w:line="360" w:lineRule="auto"/>
        <w:rPr>
          <w:bCs/>
        </w:rPr>
      </w:pPr>
      <w:r>
        <w:rPr>
          <w:rFonts w:hint="eastAsia"/>
          <w:bCs/>
        </w:rPr>
        <w:t>总体目标</w:t>
      </w:r>
    </w:p>
    <w:p>
      <w:pPr>
        <w:numPr>
          <w:ilvl w:val="1"/>
          <w:numId w:val="3"/>
        </w:numPr>
        <w:tabs>
          <w:tab w:val="left" w:pos="0"/>
        </w:tabs>
        <w:spacing w:line="360" w:lineRule="auto"/>
        <w:rPr>
          <w:rFonts w:ascii="宋体" w:hAnsi="宋体"/>
        </w:rPr>
      </w:pPr>
      <w:r>
        <w:rPr>
          <w:rFonts w:hint="eastAsia" w:ascii="宋体" w:hAnsi="宋体"/>
        </w:rPr>
        <w:t>做好甲方服务系统的运行维护工作，保证甲方系统运行稳定、高效、正确；</w:t>
      </w:r>
    </w:p>
    <w:p>
      <w:pPr>
        <w:numPr>
          <w:ilvl w:val="1"/>
          <w:numId w:val="3"/>
        </w:numPr>
        <w:tabs>
          <w:tab w:val="left" w:pos="0"/>
        </w:tabs>
        <w:spacing w:line="360" w:lineRule="auto"/>
        <w:rPr>
          <w:rFonts w:ascii="宋体" w:hAnsi="宋体"/>
        </w:rPr>
      </w:pPr>
      <w:r>
        <w:rPr>
          <w:rFonts w:hint="eastAsia" w:ascii="宋体" w:hAnsi="宋体"/>
        </w:rPr>
        <w:t>做好与甲方的运行管理部门、业务管理部门的沟通、交流、汇报等工作，使工作运转流程顺畅、高效；</w:t>
      </w:r>
    </w:p>
    <w:p>
      <w:pPr>
        <w:numPr>
          <w:ilvl w:val="1"/>
          <w:numId w:val="3"/>
        </w:numPr>
        <w:tabs>
          <w:tab w:val="left" w:pos="0"/>
        </w:tabs>
        <w:spacing w:line="360" w:lineRule="auto"/>
        <w:rPr>
          <w:rFonts w:ascii="宋体" w:hAnsi="宋体"/>
        </w:rPr>
      </w:pPr>
      <w:r>
        <w:rPr>
          <w:rFonts w:hint="eastAsia" w:ascii="宋体" w:hAnsi="宋体"/>
        </w:rPr>
        <w:t>做好对甲方系统的服务响应、技术支持服务，使客户满意；</w:t>
      </w:r>
    </w:p>
    <w:p>
      <w:pPr>
        <w:numPr>
          <w:ilvl w:val="1"/>
          <w:numId w:val="3"/>
        </w:numPr>
        <w:tabs>
          <w:tab w:val="left" w:pos="0"/>
        </w:tabs>
        <w:spacing w:line="360" w:lineRule="auto"/>
        <w:rPr>
          <w:rFonts w:ascii="宋体" w:hAnsi="宋体"/>
        </w:rPr>
      </w:pPr>
      <w:r>
        <w:rPr>
          <w:rFonts w:hint="eastAsia" w:ascii="宋体" w:hAnsi="宋体"/>
        </w:rPr>
        <w:t>通过对运行中发现的问题进行汇总、分析、报告，从而为改进系统、优化系统提供建议，使系统更易维护，更加稳定；</w:t>
      </w:r>
    </w:p>
    <w:p>
      <w:pPr>
        <w:numPr>
          <w:ilvl w:val="0"/>
          <w:numId w:val="3"/>
        </w:numPr>
        <w:tabs>
          <w:tab w:val="left" w:pos="0"/>
        </w:tabs>
        <w:spacing w:line="360" w:lineRule="auto"/>
        <w:rPr>
          <w:rFonts w:ascii="宋体" w:hAnsi="宋体"/>
        </w:rPr>
      </w:pPr>
      <w:r>
        <w:rPr>
          <w:rFonts w:hint="eastAsia" w:ascii="宋体" w:hAnsi="宋体"/>
        </w:rPr>
        <w:t>事件服务响应时间和处理率</w:t>
      </w:r>
    </w:p>
    <w:p>
      <w:pPr>
        <w:numPr>
          <w:ilvl w:val="1"/>
          <w:numId w:val="3"/>
        </w:numPr>
        <w:tabs>
          <w:tab w:val="left" w:pos="0"/>
        </w:tabs>
        <w:spacing w:line="360" w:lineRule="auto"/>
        <w:rPr>
          <w:rFonts w:ascii="宋体" w:hAnsi="宋体"/>
        </w:rPr>
      </w:pPr>
      <w:bookmarkStart w:id="25" w:name="_Toc67447827"/>
      <w:r>
        <w:rPr>
          <w:rFonts w:hint="eastAsia" w:ascii="宋体" w:hAnsi="宋体"/>
        </w:rPr>
        <w:t>一级故障或影响业务正常生产的故障，由现场支持人员2小时内定位问题，4小时内恢复生产。</w:t>
      </w:r>
    </w:p>
    <w:p>
      <w:pPr>
        <w:numPr>
          <w:ilvl w:val="1"/>
          <w:numId w:val="3"/>
        </w:numPr>
        <w:tabs>
          <w:tab w:val="left" w:pos="0"/>
        </w:tabs>
        <w:spacing w:line="360" w:lineRule="auto"/>
        <w:rPr>
          <w:rFonts w:ascii="宋体" w:hAnsi="宋体"/>
        </w:rPr>
      </w:pPr>
      <w:r>
        <w:rPr>
          <w:rFonts w:hint="eastAsia" w:ascii="宋体" w:hAnsi="宋体"/>
        </w:rPr>
        <w:t>在一般性设备故障或设备故障未影响生产的情况下，乙方将依据与甲方协商的时间计划排除故障。</w:t>
      </w:r>
    </w:p>
    <w:p>
      <w:pPr>
        <w:numPr>
          <w:ilvl w:val="1"/>
          <w:numId w:val="3"/>
        </w:numPr>
        <w:tabs>
          <w:tab w:val="left" w:pos="0"/>
        </w:tabs>
        <w:spacing w:line="360" w:lineRule="auto"/>
        <w:rPr>
          <w:rFonts w:ascii="宋体" w:hAnsi="宋体"/>
        </w:rPr>
      </w:pPr>
      <w:r>
        <w:rPr>
          <w:rFonts w:hint="eastAsia" w:ascii="宋体" w:hAnsi="宋体"/>
        </w:rPr>
        <w:t>每次维护、维修后，乙方工程师将详细填写《客户服务报告》并交用户签字认可，双方各留一份以备存档。</w:t>
      </w:r>
    </w:p>
    <w:p>
      <w:pPr>
        <w:pStyle w:val="2"/>
        <w:spacing w:line="360" w:lineRule="auto"/>
      </w:pPr>
      <w:bookmarkStart w:id="26" w:name="_Toc181435602"/>
      <w:r>
        <w:rPr>
          <w:rFonts w:hint="eastAsia"/>
        </w:rPr>
        <w:t>乙方组织架构</w:t>
      </w:r>
      <w:bookmarkEnd w:id="25"/>
      <w:bookmarkEnd w:id="26"/>
    </w:p>
    <w:p>
      <w:pPr>
        <w:pStyle w:val="14"/>
        <w:spacing w:line="360" w:lineRule="auto"/>
        <w:ind w:firstLine="420" w:firstLineChars="200"/>
        <w:rPr>
          <w:rFonts w:ascii="宋体" w:hAnsi="宋体" w:eastAsia="宋体"/>
          <w:snapToGrid/>
          <w:color w:val="auto"/>
          <w:sz w:val="21"/>
        </w:rPr>
      </w:pPr>
      <w:r>
        <w:rPr>
          <w:rFonts w:hint="eastAsia" w:ascii="宋体" w:hAnsi="宋体" w:eastAsia="宋体"/>
          <w:snapToGrid/>
          <w:color w:val="auto"/>
          <w:sz w:val="21"/>
        </w:rPr>
        <w:t>为了更好地提供服务，乙方成立建行服务组，专职为甲方提供服务，服务组包括：</w:t>
      </w:r>
    </w:p>
    <w:p>
      <w:pPr>
        <w:numPr>
          <w:ilvl w:val="0"/>
          <w:numId w:val="4"/>
        </w:numPr>
        <w:tabs>
          <w:tab w:val="left" w:pos="900"/>
        </w:tabs>
        <w:spacing w:before="120" w:line="360" w:lineRule="auto"/>
        <w:jc w:val="left"/>
        <w:rPr>
          <w:rFonts w:ascii="宋体" w:hAnsi="宋体"/>
          <w:sz w:val="30"/>
          <w:szCs w:val="30"/>
        </w:rPr>
      </w:pPr>
      <w:r>
        <w:rPr>
          <w:rFonts w:hint="eastAsia" w:ascii="宋体" w:hAnsi="宋体"/>
          <w:sz w:val="30"/>
          <w:szCs w:val="30"/>
        </w:rPr>
        <w:t>项目客户服务经理</w:t>
      </w:r>
    </w:p>
    <w:p>
      <w:pPr>
        <w:pStyle w:val="14"/>
        <w:spacing w:line="360" w:lineRule="auto"/>
        <w:ind w:firstLine="420" w:firstLineChars="200"/>
        <w:rPr>
          <w:rFonts w:ascii="宋体" w:hAnsi="宋体" w:eastAsia="宋体"/>
          <w:snapToGrid/>
          <w:color w:val="auto"/>
          <w:sz w:val="21"/>
        </w:rPr>
      </w:pPr>
      <w:r>
        <w:rPr>
          <w:rFonts w:hint="eastAsia" w:ascii="宋体" w:hAnsi="宋体" w:eastAsia="宋体"/>
          <w:snapToGrid/>
          <w:color w:val="auto"/>
          <w:sz w:val="21"/>
        </w:rPr>
        <w:t>要求：</w:t>
      </w:r>
    </w:p>
    <w:p>
      <w:pPr>
        <w:pStyle w:val="14"/>
        <w:spacing w:line="360" w:lineRule="auto"/>
        <w:ind w:firstLine="420" w:firstLineChars="200"/>
        <w:rPr>
          <w:rFonts w:ascii="宋体" w:hAnsi="宋体" w:eastAsia="宋体"/>
          <w:snapToGrid/>
          <w:color w:val="auto"/>
          <w:sz w:val="21"/>
        </w:rPr>
      </w:pPr>
      <w:r>
        <w:rPr>
          <w:rFonts w:hint="eastAsia" w:ascii="宋体" w:hAnsi="宋体" w:eastAsia="宋体"/>
          <w:snapToGrid/>
          <w:color w:val="auto"/>
          <w:sz w:val="21"/>
        </w:rPr>
        <w:t>项目服务经理具有</w:t>
      </w:r>
      <w:r>
        <w:rPr>
          <w:rFonts w:ascii="宋体" w:hAnsi="宋体" w:eastAsia="宋体"/>
          <w:snapToGrid/>
          <w:color w:val="auto"/>
          <w:sz w:val="21"/>
        </w:rPr>
        <w:t>3</w:t>
      </w:r>
      <w:r>
        <w:rPr>
          <w:rFonts w:hint="eastAsia" w:ascii="宋体" w:hAnsi="宋体" w:eastAsia="宋体"/>
          <w:snapToGrid/>
          <w:color w:val="auto"/>
          <w:sz w:val="21"/>
        </w:rPr>
        <w:t>年以上金融行业机房维护工作经验</w:t>
      </w:r>
      <w:r>
        <w:rPr>
          <w:rFonts w:ascii="宋体" w:hAnsi="宋体" w:eastAsia="宋体"/>
          <w:snapToGrid/>
          <w:color w:val="auto"/>
          <w:sz w:val="21"/>
        </w:rPr>
        <w:t>,</w:t>
      </w:r>
      <w:r>
        <w:rPr>
          <w:rFonts w:hint="eastAsia" w:ascii="宋体" w:hAnsi="宋体" w:eastAsia="宋体"/>
          <w:snapToGrid/>
          <w:color w:val="auto"/>
          <w:sz w:val="21"/>
        </w:rPr>
        <w:t>熟悉电气、UPS、空调、弱电、消防等多个专业。具有较高的沟通、组织、协调能力。</w:t>
      </w:r>
    </w:p>
    <w:p>
      <w:pPr>
        <w:pStyle w:val="14"/>
        <w:spacing w:line="360" w:lineRule="auto"/>
        <w:ind w:firstLine="420" w:firstLineChars="200"/>
        <w:rPr>
          <w:rFonts w:eastAsia="宋体"/>
          <w:color w:val="auto"/>
        </w:rPr>
      </w:pPr>
      <w:r>
        <w:rPr>
          <w:rFonts w:hint="eastAsia" w:ascii="宋体" w:hAnsi="宋体" w:eastAsia="宋体"/>
          <w:snapToGrid/>
          <w:color w:val="auto"/>
          <w:sz w:val="21"/>
        </w:rPr>
        <w:t>职责：</w:t>
      </w:r>
    </w:p>
    <w:p>
      <w:pPr>
        <w:pStyle w:val="14"/>
        <w:numPr>
          <w:ilvl w:val="0"/>
          <w:numId w:val="5"/>
        </w:numPr>
        <w:spacing w:line="360" w:lineRule="auto"/>
        <w:rPr>
          <w:rFonts w:ascii="宋体" w:hAnsi="宋体" w:eastAsia="宋体"/>
          <w:snapToGrid/>
          <w:color w:val="auto"/>
          <w:sz w:val="21"/>
        </w:rPr>
      </w:pPr>
      <w:r>
        <w:rPr>
          <w:rFonts w:hint="eastAsia" w:ascii="宋体" w:hAnsi="宋体" w:eastAsia="宋体"/>
          <w:snapToGrid/>
          <w:color w:val="auto"/>
          <w:sz w:val="21"/>
        </w:rPr>
        <w:t>与甲方相关人员、本项目客户关系负责人、公司技术部门负责人及项目组其他成员保持良好的沟通，在能力所及范围内协调公司内部相关方面以保证项目顺利执行，必要时请求更高级管理人员进行协调；</w:t>
      </w:r>
    </w:p>
    <w:p>
      <w:pPr>
        <w:pStyle w:val="14"/>
        <w:numPr>
          <w:ilvl w:val="0"/>
          <w:numId w:val="5"/>
        </w:numPr>
        <w:spacing w:line="360" w:lineRule="auto"/>
        <w:rPr>
          <w:rFonts w:ascii="宋体" w:hAnsi="宋体" w:eastAsia="宋体"/>
          <w:snapToGrid/>
          <w:color w:val="auto"/>
          <w:sz w:val="21"/>
        </w:rPr>
      </w:pPr>
      <w:r>
        <w:rPr>
          <w:rFonts w:hint="eastAsia" w:ascii="宋体" w:hAnsi="宋体" w:eastAsia="宋体"/>
          <w:snapToGrid/>
          <w:color w:val="auto"/>
          <w:sz w:val="21"/>
        </w:rPr>
        <w:t>对甲方可能出现的风险进行评估，制定年度维保计划和应急方案并组织协调实施。在每次故障维修、预防性巡检、现场支持及方案咨询完成后，向客户出具报告和意见书。</w:t>
      </w:r>
    </w:p>
    <w:p>
      <w:pPr>
        <w:pStyle w:val="14"/>
        <w:numPr>
          <w:ilvl w:val="0"/>
          <w:numId w:val="5"/>
        </w:numPr>
        <w:spacing w:line="360" w:lineRule="auto"/>
        <w:rPr>
          <w:rFonts w:ascii="宋体" w:hAnsi="宋体" w:eastAsia="宋体"/>
          <w:snapToGrid/>
          <w:color w:val="auto"/>
          <w:sz w:val="21"/>
        </w:rPr>
      </w:pPr>
      <w:r>
        <w:rPr>
          <w:rFonts w:hint="eastAsia" w:ascii="宋体" w:hAnsi="宋体" w:eastAsia="宋体"/>
          <w:snapToGrid/>
          <w:color w:val="auto"/>
          <w:sz w:val="21"/>
        </w:rPr>
        <w:t>清楚地掌握项目组其他成员的特长、能力，推动并监督下属人员完成职责内的工作，并给予考核意见；</w:t>
      </w:r>
    </w:p>
    <w:p>
      <w:pPr>
        <w:pStyle w:val="14"/>
        <w:numPr>
          <w:ilvl w:val="0"/>
          <w:numId w:val="5"/>
        </w:numPr>
        <w:spacing w:line="360" w:lineRule="auto"/>
        <w:rPr>
          <w:rFonts w:ascii="宋体" w:hAnsi="宋体" w:eastAsia="宋体"/>
          <w:snapToGrid/>
          <w:color w:val="auto"/>
          <w:sz w:val="21"/>
        </w:rPr>
      </w:pPr>
      <w:r>
        <w:rPr>
          <w:rFonts w:hint="eastAsia" w:ascii="宋体" w:hAnsi="宋体" w:eastAsia="宋体"/>
          <w:snapToGrid/>
          <w:color w:val="auto"/>
          <w:sz w:val="21"/>
        </w:rPr>
        <w:t>对项目执行中的各种规范随时根据实际情况进行完善补充，如有必要事先征求意见并综合各方情况和意见，定期对项目质量进行评估和总结；</w:t>
      </w:r>
    </w:p>
    <w:p>
      <w:pPr>
        <w:pStyle w:val="14"/>
        <w:numPr>
          <w:ilvl w:val="0"/>
          <w:numId w:val="5"/>
        </w:numPr>
        <w:spacing w:line="360" w:lineRule="auto"/>
        <w:rPr>
          <w:rFonts w:ascii="宋体" w:hAnsi="宋体" w:eastAsia="宋体"/>
          <w:snapToGrid/>
          <w:color w:val="auto"/>
          <w:sz w:val="21"/>
        </w:rPr>
      </w:pPr>
      <w:r>
        <w:rPr>
          <w:rFonts w:hint="eastAsia" w:ascii="宋体" w:hAnsi="宋体" w:eastAsia="宋体"/>
          <w:snapToGrid/>
          <w:color w:val="auto"/>
          <w:sz w:val="21"/>
        </w:rPr>
        <w:t>对可能出现的影响项目质量的风险情况作出评估，及时调整计划或制定质量保证措施。</w:t>
      </w:r>
    </w:p>
    <w:p>
      <w:pPr>
        <w:numPr>
          <w:ilvl w:val="0"/>
          <w:numId w:val="4"/>
        </w:numPr>
        <w:tabs>
          <w:tab w:val="left" w:pos="900"/>
        </w:tabs>
        <w:spacing w:before="120" w:line="360" w:lineRule="auto"/>
        <w:jc w:val="left"/>
        <w:rPr>
          <w:rFonts w:ascii="宋体" w:hAnsi="宋体"/>
          <w:sz w:val="30"/>
          <w:szCs w:val="30"/>
        </w:rPr>
      </w:pPr>
      <w:bookmarkStart w:id="27" w:name="_Toc43274974"/>
      <w:r>
        <w:rPr>
          <w:rFonts w:hint="eastAsia" w:ascii="宋体" w:hAnsi="宋体"/>
          <w:sz w:val="30"/>
          <w:szCs w:val="30"/>
        </w:rPr>
        <w:t>维护支持工程师团队</w:t>
      </w:r>
    </w:p>
    <w:p>
      <w:pPr>
        <w:pStyle w:val="14"/>
        <w:spacing w:line="360" w:lineRule="auto"/>
        <w:ind w:firstLine="480" w:firstLineChars="200"/>
        <w:rPr>
          <w:rFonts w:ascii="宋体" w:hAnsi="宋体" w:eastAsia="宋体"/>
          <w:sz w:val="24"/>
        </w:rPr>
      </w:pPr>
      <w:r>
        <w:rPr>
          <w:rFonts w:hint="eastAsia" w:ascii="宋体" w:hAnsi="宋体" w:eastAsia="宋体"/>
          <w:sz w:val="24"/>
        </w:rPr>
        <w:t>要求：</w:t>
      </w:r>
    </w:p>
    <w:p>
      <w:pPr>
        <w:pStyle w:val="14"/>
        <w:spacing w:line="360" w:lineRule="auto"/>
        <w:rPr>
          <w:rFonts w:ascii="宋体" w:hAnsi="宋体" w:eastAsia="宋体"/>
          <w:snapToGrid/>
          <w:color w:val="auto"/>
          <w:sz w:val="21"/>
        </w:rPr>
      </w:pPr>
      <w:r>
        <w:rPr>
          <w:rFonts w:hint="eastAsia" w:ascii="宋体" w:hAnsi="宋体" w:eastAsia="宋体"/>
          <w:snapToGrid/>
          <w:color w:val="auto"/>
          <w:sz w:val="21"/>
        </w:rPr>
        <w:t>维护工程师团队具有金融行业机房维护工作经验，成员涵盖电气、UPS、空调、弱电、消防等多个专业。按照服务经理负责制定的服务方案，与客户确定巡检维护的时间和内容，完成巡检维护工作。</w:t>
      </w:r>
    </w:p>
    <w:p>
      <w:pPr>
        <w:pStyle w:val="14"/>
        <w:spacing w:line="360" w:lineRule="auto"/>
        <w:ind w:firstLine="480" w:firstLineChars="200"/>
        <w:rPr>
          <w:rFonts w:ascii="宋体" w:hAnsi="宋体" w:eastAsia="宋体"/>
          <w:sz w:val="24"/>
        </w:rPr>
      </w:pPr>
      <w:r>
        <w:rPr>
          <w:rFonts w:hint="eastAsia" w:ascii="宋体" w:hAnsi="宋体" w:eastAsia="宋体"/>
          <w:sz w:val="24"/>
        </w:rPr>
        <w:t>职责：</w:t>
      </w:r>
    </w:p>
    <w:p>
      <w:pPr>
        <w:pStyle w:val="14"/>
        <w:numPr>
          <w:ilvl w:val="0"/>
          <w:numId w:val="6"/>
        </w:numPr>
        <w:spacing w:line="360" w:lineRule="auto"/>
        <w:rPr>
          <w:rFonts w:ascii="宋体" w:hAnsi="宋体" w:eastAsia="宋体"/>
          <w:snapToGrid/>
          <w:color w:val="auto"/>
          <w:sz w:val="21"/>
        </w:rPr>
      </w:pPr>
      <w:r>
        <w:rPr>
          <w:rFonts w:hint="eastAsia" w:ascii="宋体" w:hAnsi="宋体" w:eastAsia="宋体"/>
          <w:snapToGrid/>
          <w:color w:val="auto"/>
          <w:sz w:val="21"/>
        </w:rPr>
        <w:t>对甲方系统出现的故障，在合同规定时间内排除故障。</w:t>
      </w:r>
    </w:p>
    <w:p>
      <w:pPr>
        <w:pStyle w:val="14"/>
        <w:numPr>
          <w:ilvl w:val="0"/>
          <w:numId w:val="6"/>
        </w:numPr>
        <w:spacing w:line="360" w:lineRule="auto"/>
        <w:rPr>
          <w:rFonts w:ascii="宋体" w:hAnsi="宋体" w:eastAsia="宋体"/>
          <w:snapToGrid/>
          <w:color w:val="auto"/>
          <w:sz w:val="21"/>
        </w:rPr>
      </w:pPr>
      <w:r>
        <w:rPr>
          <w:rFonts w:hint="eastAsia" w:ascii="宋体" w:hAnsi="宋体" w:eastAsia="宋体"/>
          <w:snapToGrid/>
          <w:color w:val="auto"/>
          <w:sz w:val="21"/>
        </w:rPr>
        <w:t>按照服务经理制订的维保及巡检计划，完成相应设备的预防性巡检和维护并填写相应的维护文档。</w:t>
      </w:r>
    </w:p>
    <w:p>
      <w:pPr>
        <w:pStyle w:val="14"/>
        <w:numPr>
          <w:ilvl w:val="0"/>
          <w:numId w:val="6"/>
        </w:numPr>
        <w:spacing w:line="360" w:lineRule="auto"/>
        <w:rPr>
          <w:rFonts w:ascii="宋体" w:hAnsi="宋体" w:eastAsia="宋体"/>
          <w:snapToGrid/>
          <w:color w:val="auto"/>
          <w:sz w:val="21"/>
        </w:rPr>
      </w:pPr>
      <w:r>
        <w:rPr>
          <w:rFonts w:hint="eastAsia" w:ascii="宋体" w:hAnsi="宋体" w:eastAsia="宋体"/>
          <w:snapToGrid/>
          <w:color w:val="auto"/>
          <w:sz w:val="21"/>
        </w:rPr>
        <w:t>负责与服务经理协调公司资源，对甲方系统进行必要的保障。</w:t>
      </w:r>
    </w:p>
    <w:p>
      <w:pPr>
        <w:pStyle w:val="14"/>
        <w:numPr>
          <w:ilvl w:val="0"/>
          <w:numId w:val="6"/>
        </w:numPr>
        <w:spacing w:line="360" w:lineRule="auto"/>
        <w:rPr>
          <w:rFonts w:ascii="宋体" w:hAnsi="宋体" w:eastAsia="宋体"/>
          <w:snapToGrid/>
          <w:color w:val="auto"/>
          <w:sz w:val="21"/>
        </w:rPr>
      </w:pPr>
      <w:r>
        <w:rPr>
          <w:rFonts w:hint="eastAsia" w:ascii="宋体" w:hAnsi="宋体" w:eastAsia="宋体"/>
          <w:snapToGrid/>
          <w:color w:val="auto"/>
          <w:sz w:val="21"/>
        </w:rPr>
        <w:t>在特殊时间点和紧急故障时，提供现场支持维护。</w:t>
      </w:r>
    </w:p>
    <w:p>
      <w:pPr>
        <w:numPr>
          <w:ilvl w:val="0"/>
          <w:numId w:val="4"/>
        </w:numPr>
        <w:tabs>
          <w:tab w:val="left" w:pos="900"/>
        </w:tabs>
        <w:spacing w:before="120" w:line="360" w:lineRule="auto"/>
        <w:jc w:val="left"/>
        <w:rPr>
          <w:rFonts w:ascii="宋体" w:hAnsi="宋体"/>
          <w:sz w:val="30"/>
          <w:szCs w:val="30"/>
        </w:rPr>
      </w:pPr>
      <w:r>
        <w:rPr>
          <w:rFonts w:hint="eastAsia" w:ascii="宋体" w:hAnsi="宋体"/>
          <w:sz w:val="30"/>
          <w:szCs w:val="30"/>
        </w:rPr>
        <w:t>文档管理员</w:t>
      </w:r>
      <w:bookmarkEnd w:id="27"/>
    </w:p>
    <w:p>
      <w:pPr>
        <w:pStyle w:val="14"/>
        <w:spacing w:line="360" w:lineRule="auto"/>
        <w:ind w:firstLine="420" w:firstLineChars="200"/>
        <w:rPr>
          <w:rFonts w:ascii="宋体" w:hAnsi="宋体" w:eastAsia="宋体"/>
          <w:snapToGrid/>
          <w:color w:val="auto"/>
          <w:sz w:val="21"/>
        </w:rPr>
      </w:pPr>
      <w:r>
        <w:rPr>
          <w:rFonts w:hint="eastAsia" w:ascii="宋体" w:hAnsi="宋体" w:eastAsia="宋体"/>
          <w:snapToGrid/>
          <w:color w:val="auto"/>
          <w:sz w:val="21"/>
        </w:rPr>
        <w:t>职责：</w:t>
      </w:r>
    </w:p>
    <w:p>
      <w:pPr>
        <w:pStyle w:val="14"/>
        <w:numPr>
          <w:ilvl w:val="0"/>
          <w:numId w:val="7"/>
        </w:numPr>
        <w:spacing w:line="360" w:lineRule="auto"/>
        <w:rPr>
          <w:rFonts w:ascii="宋体" w:hAnsi="宋体" w:eastAsia="宋体"/>
          <w:snapToGrid/>
          <w:color w:val="auto"/>
          <w:sz w:val="21"/>
        </w:rPr>
      </w:pPr>
      <w:r>
        <w:rPr>
          <w:rFonts w:hint="eastAsia" w:ascii="宋体" w:hAnsi="宋体" w:eastAsia="宋体"/>
          <w:snapToGrid/>
          <w:color w:val="auto"/>
          <w:sz w:val="21"/>
        </w:rPr>
        <w:t>协助项目经理工作，主要是事务性的；</w:t>
      </w:r>
    </w:p>
    <w:p>
      <w:pPr>
        <w:pStyle w:val="14"/>
        <w:numPr>
          <w:ilvl w:val="0"/>
          <w:numId w:val="7"/>
        </w:numPr>
        <w:spacing w:line="360" w:lineRule="auto"/>
        <w:rPr>
          <w:rFonts w:ascii="宋体" w:hAnsi="宋体" w:eastAsia="宋体"/>
          <w:snapToGrid/>
          <w:color w:val="auto"/>
          <w:sz w:val="21"/>
        </w:rPr>
      </w:pPr>
      <w:r>
        <w:rPr>
          <w:rFonts w:hint="eastAsia" w:ascii="宋体" w:hAnsi="宋体" w:eastAsia="宋体"/>
          <w:snapToGrid/>
          <w:color w:val="auto"/>
          <w:sz w:val="21"/>
        </w:rPr>
        <w:t>负责项目文档和资料的搜集整理，责成相关人员按时提交项目实施和技术文档，记录项目组在项目实施过程中的重要事件，如会议内容，重要决策，计划变更等；</w:t>
      </w:r>
    </w:p>
    <w:p>
      <w:pPr>
        <w:pStyle w:val="14"/>
        <w:numPr>
          <w:ilvl w:val="0"/>
          <w:numId w:val="7"/>
        </w:numPr>
        <w:spacing w:line="360" w:lineRule="auto"/>
        <w:rPr>
          <w:rFonts w:ascii="宋体" w:hAnsi="宋体" w:eastAsia="宋体"/>
          <w:snapToGrid/>
          <w:color w:val="auto"/>
          <w:sz w:val="21"/>
        </w:rPr>
      </w:pPr>
      <w:r>
        <w:rPr>
          <w:rFonts w:hint="eastAsia" w:ascii="宋体" w:hAnsi="宋体" w:eastAsia="宋体"/>
          <w:snapToGrid/>
          <w:color w:val="auto"/>
          <w:sz w:val="21"/>
        </w:rPr>
        <w:t>根据项目文档等项目情况记录，经过整理，提交项目经理所需的资料。</w:t>
      </w:r>
    </w:p>
    <w:p>
      <w:pPr>
        <w:pStyle w:val="2"/>
        <w:spacing w:line="360" w:lineRule="auto"/>
      </w:pPr>
      <w:bookmarkStart w:id="28" w:name="_服务内容_1"/>
      <w:bookmarkEnd w:id="28"/>
      <w:bookmarkStart w:id="29" w:name="_Toc67447841"/>
      <w:bookmarkStart w:id="30" w:name="_Toc181435603"/>
      <w:r>
        <w:rPr>
          <w:rFonts w:hint="eastAsia"/>
        </w:rPr>
        <w:t>双方责任</w:t>
      </w:r>
      <w:bookmarkEnd w:id="29"/>
      <w:bookmarkEnd w:id="30"/>
    </w:p>
    <w:p>
      <w:pPr>
        <w:pStyle w:val="3"/>
        <w:rPr>
          <w:rFonts w:eastAsia="宋体"/>
        </w:rPr>
      </w:pPr>
      <w:bookmarkStart w:id="31" w:name="_Toc67447842"/>
      <w:bookmarkStart w:id="32" w:name="_Toc181435604"/>
      <w:r>
        <w:rPr>
          <w:rFonts w:hint="eastAsia" w:eastAsia="宋体"/>
        </w:rPr>
        <w:t>甲方责任</w:t>
      </w:r>
      <w:bookmarkEnd w:id="31"/>
      <w:bookmarkEnd w:id="32"/>
    </w:p>
    <w:p>
      <w:pPr>
        <w:spacing w:line="360" w:lineRule="auto"/>
        <w:ind w:firstLine="420" w:firstLineChars="200"/>
      </w:pPr>
      <w:r>
        <w:rPr>
          <w:rFonts w:hint="eastAsia"/>
        </w:rPr>
        <w:t>1.当设备发生故障时，及时向乙方提供有关信息，以便乙方及时分析故障，有准备地到现场及时修复设备。</w:t>
      </w:r>
    </w:p>
    <w:p>
      <w:pPr>
        <w:spacing w:line="360" w:lineRule="auto"/>
        <w:ind w:firstLine="420" w:firstLineChars="200"/>
      </w:pPr>
      <w:r>
        <w:rPr>
          <w:rFonts w:hint="eastAsia"/>
        </w:rPr>
        <w:t>2.对偶发性及间断性故障，协助乙方做好故障跟踪工作，根据乙方提出的要求及方法进行记录。</w:t>
      </w:r>
    </w:p>
    <w:p>
      <w:pPr>
        <w:spacing w:line="360" w:lineRule="auto"/>
        <w:ind w:firstLine="420" w:firstLineChars="200"/>
      </w:pPr>
      <w:r>
        <w:rPr>
          <w:rFonts w:hint="eastAsia"/>
        </w:rPr>
        <w:t>3.未经乙方同意，不得随意调整或拆卸设备（厂商操作手册规定的维护调试不在此限）。不得随意挪动设备，若改变设备的地址（设备的硬开关设置）后，应及时通知乙方，并在设备管理档案中记录。</w:t>
      </w:r>
    </w:p>
    <w:p>
      <w:pPr>
        <w:spacing w:line="360" w:lineRule="auto"/>
        <w:ind w:firstLine="420" w:firstLineChars="200"/>
      </w:pPr>
      <w:r>
        <w:rPr>
          <w:rFonts w:hint="eastAsia"/>
        </w:rPr>
        <w:t>4.为乙方工程师现场维护提供必要的工作场地。在不影响正常业务开展的情况下，尽量向乙方提供维护修机时间并安排系统人员协助乙方工作。</w:t>
      </w:r>
    </w:p>
    <w:p>
      <w:pPr>
        <w:spacing w:line="360" w:lineRule="auto"/>
        <w:ind w:firstLine="420" w:firstLineChars="200"/>
      </w:pPr>
      <w:r>
        <w:rPr>
          <w:rFonts w:hint="eastAsia"/>
        </w:rPr>
        <w:t>5.对乙方工作的工作态度、技术水平进行监督和评判以提高乙方的服务质量。</w:t>
      </w:r>
    </w:p>
    <w:p>
      <w:pPr>
        <w:spacing w:line="360" w:lineRule="auto"/>
        <w:ind w:firstLine="420" w:firstLineChars="200"/>
      </w:pPr>
      <w:r>
        <w:rPr>
          <w:rFonts w:hint="eastAsia"/>
        </w:rPr>
        <w:t>6.在设备运行和维修过程中，涉及到甲方设备消耗材料的需求，由甲方负责提供或承担费用。</w:t>
      </w:r>
    </w:p>
    <w:p>
      <w:pPr>
        <w:pStyle w:val="3"/>
        <w:rPr>
          <w:rFonts w:eastAsia="宋体"/>
        </w:rPr>
      </w:pPr>
      <w:bookmarkStart w:id="33" w:name="_Toc181435605"/>
      <w:bookmarkStart w:id="34" w:name="_Toc67447843"/>
      <w:r>
        <w:rPr>
          <w:rFonts w:hint="eastAsia" w:eastAsia="宋体"/>
        </w:rPr>
        <w:t>乙方责任</w:t>
      </w:r>
      <w:bookmarkEnd w:id="33"/>
      <w:bookmarkEnd w:id="34"/>
    </w:p>
    <w:p>
      <w:pPr>
        <w:spacing w:line="360" w:lineRule="auto"/>
        <w:ind w:firstLine="420" w:firstLineChars="200"/>
      </w:pPr>
      <w:r>
        <w:rPr>
          <w:rFonts w:hint="eastAsia"/>
        </w:rPr>
        <w:t>1.根据甲方设备的具体配置，储备足够的主要常用、易损备件和备机。</w:t>
      </w:r>
    </w:p>
    <w:p>
      <w:pPr>
        <w:spacing w:line="360" w:lineRule="auto"/>
        <w:ind w:firstLine="420" w:firstLineChars="200"/>
      </w:pPr>
      <w:r>
        <w:rPr>
          <w:rFonts w:hint="eastAsia"/>
        </w:rPr>
        <w:t>2.若乙方在现场确认属于可能影响生产的不可确定综合故障，应立即启动应急方案。</w:t>
      </w:r>
    </w:p>
    <w:p>
      <w:pPr>
        <w:spacing w:line="360" w:lineRule="auto"/>
        <w:ind w:firstLine="420" w:firstLineChars="200"/>
      </w:pPr>
      <w:r>
        <w:rPr>
          <w:rFonts w:hint="eastAsia"/>
        </w:rPr>
        <w:t>3.维护保养及维修工作结束后，乙方工程师应填写设备管理档案，并写出维修报告由甲方签署意见和签字确认。</w:t>
      </w:r>
    </w:p>
    <w:p>
      <w:pPr>
        <w:spacing w:line="360" w:lineRule="auto"/>
        <w:ind w:firstLine="420" w:firstLineChars="200"/>
      </w:pPr>
      <w:r>
        <w:rPr>
          <w:rFonts w:hint="eastAsia"/>
        </w:rPr>
        <w:t>4.因乙方技术问题或维护问题造成事故，使甲方设备遭受损失的，乙方应赔偿甲方设备的全部损失。</w:t>
      </w:r>
    </w:p>
    <w:p>
      <w:pPr>
        <w:spacing w:line="360" w:lineRule="auto"/>
        <w:ind w:firstLine="420" w:firstLineChars="200"/>
      </w:pPr>
      <w:r>
        <w:rPr>
          <w:rFonts w:hint="eastAsia"/>
        </w:rPr>
        <w:t>5.合同有效期内，用乙方备件免费更换下来的旧部件归乙方所有。</w:t>
      </w:r>
    </w:p>
    <w:p>
      <w:pPr>
        <w:spacing w:line="360" w:lineRule="auto"/>
        <w:ind w:firstLine="420" w:firstLineChars="200"/>
      </w:pPr>
      <w:r>
        <w:rPr>
          <w:rFonts w:hint="eastAsia"/>
        </w:rPr>
        <w:t>6.根据甲方需要，免费提供设备位置调整，配置变更，新设备联接，微码升级;制定故障恢复应急方案，进行应急方案实施演练等服务。</w:t>
      </w:r>
    </w:p>
    <w:p>
      <w:pPr>
        <w:pStyle w:val="2"/>
        <w:spacing w:line="360" w:lineRule="auto"/>
      </w:pPr>
      <w:bookmarkStart w:id="35" w:name="_Toc181435606"/>
      <w:bookmarkStart w:id="36" w:name="_Toc67447844"/>
      <w:r>
        <w:rPr>
          <w:rFonts w:hint="eastAsia"/>
        </w:rPr>
        <w:t>文档管理</w:t>
      </w:r>
      <w:bookmarkEnd w:id="35"/>
    </w:p>
    <w:p>
      <w:pPr>
        <w:spacing w:line="360" w:lineRule="auto"/>
        <w:ind w:firstLine="420" w:firstLineChars="200"/>
      </w:pPr>
      <w:r>
        <w:rPr>
          <w:rFonts w:hint="eastAsia"/>
        </w:rPr>
        <w:t>乙方对所有的甲方服务要求、维修保养（保养与急修）服务、培训、定期的检查、电话回访等均进行记录，并在每半年和维保期满时提供一份完整的记录报告给甲方，以供甲方备案。</w:t>
      </w:r>
    </w:p>
    <w:p>
      <w:pPr>
        <w:pStyle w:val="2"/>
        <w:spacing w:line="360" w:lineRule="auto"/>
      </w:pPr>
      <w:bookmarkStart w:id="37" w:name="_Toc181435607"/>
      <w:r>
        <w:rPr>
          <w:rFonts w:hint="eastAsia"/>
        </w:rPr>
        <w:t>保密条款</w:t>
      </w:r>
      <w:bookmarkEnd w:id="36"/>
      <w:bookmarkEnd w:id="37"/>
    </w:p>
    <w:p>
      <w:pPr>
        <w:spacing w:line="360" w:lineRule="auto"/>
        <w:ind w:firstLine="420" w:firstLineChars="200"/>
      </w:pPr>
      <w:r>
        <w:rPr>
          <w:rFonts w:hint="eastAsia"/>
        </w:rPr>
        <w:t>乙方对在维护服务工作中所获知的有关甲方经营</w:t>
      </w:r>
      <w:r>
        <w:rPr>
          <w:rFonts w:hint="eastAsia" w:ascii="宋体" w:hAnsi="宋体"/>
        </w:rPr>
        <w:t>、管理及技术方面非公开的信息和资料负有保密义务。非经甲方书面同意，乙方不得向任何第三方透露，否则应承担违约责任并赔偿甲方损失。</w:t>
      </w:r>
    </w:p>
    <w:p>
      <w:pPr>
        <w:pStyle w:val="2"/>
        <w:spacing w:line="360" w:lineRule="auto"/>
      </w:pPr>
      <w:bookmarkStart w:id="38" w:name="_Toc181435608"/>
      <w:bookmarkStart w:id="39" w:name="_Toc67447846"/>
      <w:r>
        <w:rPr>
          <w:rFonts w:hint="eastAsia"/>
        </w:rPr>
        <w:t>验收标准</w:t>
      </w:r>
      <w:bookmarkEnd w:id="38"/>
      <w:bookmarkEnd w:id="39"/>
    </w:p>
    <w:p>
      <w:pPr>
        <w:spacing w:line="360" w:lineRule="auto"/>
        <w:ind w:firstLine="420" w:firstLineChars="200"/>
      </w:pPr>
      <w:r>
        <w:rPr>
          <w:rFonts w:hint="eastAsia"/>
        </w:rPr>
        <w:t>甲方定期对乙方的服务进行验收检查，其检查标准根据服务说明书的组织架构、服务目标承诺、保密条款、服务内容和工作职责等章节阐述的内容而定，验收检查内容参考如下：</w:t>
      </w:r>
    </w:p>
    <w:p>
      <w:pPr>
        <w:pStyle w:val="14"/>
        <w:numPr>
          <w:ilvl w:val="0"/>
          <w:numId w:val="8"/>
        </w:numPr>
        <w:spacing w:line="360" w:lineRule="auto"/>
        <w:rPr>
          <w:rFonts w:ascii="宋体" w:hAnsi="宋体" w:eastAsia="宋体"/>
          <w:snapToGrid/>
          <w:color w:val="auto"/>
          <w:sz w:val="24"/>
          <w:szCs w:val="24"/>
        </w:rPr>
      </w:pPr>
      <w:r>
        <w:rPr>
          <w:rFonts w:hint="eastAsia" w:ascii="宋体" w:hAnsi="宋体" w:eastAsia="宋体"/>
          <w:snapToGrid/>
          <w:color w:val="auto"/>
          <w:sz w:val="24"/>
          <w:szCs w:val="24"/>
        </w:rPr>
        <w:t>组织架构</w:t>
      </w:r>
    </w:p>
    <w:p>
      <w:pPr>
        <w:numPr>
          <w:ilvl w:val="0"/>
          <w:numId w:val="9"/>
        </w:numPr>
        <w:tabs>
          <w:tab w:val="left" w:pos="780"/>
        </w:tabs>
        <w:spacing w:line="360" w:lineRule="auto"/>
        <w:ind w:left="315" w:leftChars="150"/>
      </w:pPr>
      <w:r>
        <w:rPr>
          <w:rFonts w:hint="eastAsia"/>
        </w:rPr>
        <w:t>服务小组是否成立</w:t>
      </w:r>
    </w:p>
    <w:p>
      <w:pPr>
        <w:numPr>
          <w:ilvl w:val="0"/>
          <w:numId w:val="9"/>
        </w:numPr>
        <w:tabs>
          <w:tab w:val="left" w:pos="780"/>
        </w:tabs>
        <w:spacing w:line="360" w:lineRule="auto"/>
        <w:ind w:left="315" w:leftChars="150"/>
      </w:pPr>
      <w:r>
        <w:rPr>
          <w:rFonts w:hint="eastAsia"/>
        </w:rPr>
        <w:t>服务小组人员素质是否符合要求</w:t>
      </w:r>
    </w:p>
    <w:p>
      <w:pPr>
        <w:numPr>
          <w:ilvl w:val="0"/>
          <w:numId w:val="9"/>
        </w:numPr>
        <w:tabs>
          <w:tab w:val="left" w:pos="780"/>
        </w:tabs>
        <w:spacing w:line="360" w:lineRule="auto"/>
        <w:ind w:left="315" w:leftChars="150"/>
      </w:pPr>
      <w:r>
        <w:rPr>
          <w:rFonts w:hint="eastAsia"/>
        </w:rPr>
        <w:t>服务小组人员数量是否满足要求</w:t>
      </w:r>
    </w:p>
    <w:p>
      <w:pPr>
        <w:numPr>
          <w:ilvl w:val="0"/>
          <w:numId w:val="9"/>
        </w:numPr>
        <w:tabs>
          <w:tab w:val="left" w:pos="780"/>
        </w:tabs>
        <w:spacing w:line="360" w:lineRule="auto"/>
        <w:ind w:left="315" w:leftChars="150"/>
      </w:pPr>
      <w:r>
        <w:rPr>
          <w:rFonts w:hint="eastAsia"/>
        </w:rPr>
        <w:t>服务人员是否相互备份</w:t>
      </w:r>
    </w:p>
    <w:p>
      <w:pPr>
        <w:numPr>
          <w:ilvl w:val="0"/>
          <w:numId w:val="9"/>
        </w:numPr>
        <w:tabs>
          <w:tab w:val="left" w:pos="780"/>
        </w:tabs>
        <w:spacing w:line="360" w:lineRule="auto"/>
        <w:ind w:left="315" w:leftChars="150"/>
      </w:pPr>
      <w:r>
        <w:rPr>
          <w:rFonts w:hint="eastAsia"/>
        </w:rPr>
        <w:t>服务队伍是否稳定</w:t>
      </w:r>
    </w:p>
    <w:p>
      <w:pPr>
        <w:pStyle w:val="14"/>
        <w:numPr>
          <w:ilvl w:val="0"/>
          <w:numId w:val="8"/>
        </w:numPr>
        <w:spacing w:line="360" w:lineRule="auto"/>
        <w:rPr>
          <w:rFonts w:ascii="宋体" w:hAnsi="宋体" w:eastAsia="宋体"/>
          <w:snapToGrid/>
          <w:color w:val="auto"/>
          <w:sz w:val="24"/>
          <w:szCs w:val="24"/>
        </w:rPr>
      </w:pPr>
      <w:r>
        <w:rPr>
          <w:rFonts w:hint="eastAsia" w:ascii="宋体" w:hAnsi="宋体" w:eastAsia="宋体"/>
          <w:snapToGrid/>
          <w:color w:val="auto"/>
          <w:sz w:val="24"/>
          <w:szCs w:val="24"/>
        </w:rPr>
        <w:t>文档</w:t>
      </w:r>
    </w:p>
    <w:p>
      <w:pPr>
        <w:numPr>
          <w:ilvl w:val="0"/>
          <w:numId w:val="9"/>
        </w:numPr>
        <w:tabs>
          <w:tab w:val="left" w:pos="780"/>
        </w:tabs>
        <w:spacing w:line="360" w:lineRule="auto"/>
        <w:ind w:left="315" w:leftChars="150"/>
      </w:pPr>
      <w:r>
        <w:rPr>
          <w:rFonts w:hint="eastAsia"/>
        </w:rPr>
        <w:t>工作内容中规定的相关文档资料是否齐全</w:t>
      </w:r>
    </w:p>
    <w:p>
      <w:pPr>
        <w:numPr>
          <w:ilvl w:val="0"/>
          <w:numId w:val="9"/>
        </w:numPr>
        <w:tabs>
          <w:tab w:val="left" w:pos="780"/>
        </w:tabs>
        <w:spacing w:line="360" w:lineRule="auto"/>
        <w:ind w:left="315" w:leftChars="150"/>
      </w:pPr>
      <w:r>
        <w:rPr>
          <w:rFonts w:hint="eastAsia"/>
        </w:rPr>
        <w:t>文档是否及时更新（包括配置文件的更新及问题处理文档），完成情况是否满意</w:t>
      </w:r>
    </w:p>
    <w:p>
      <w:pPr>
        <w:numPr>
          <w:ilvl w:val="0"/>
          <w:numId w:val="9"/>
        </w:numPr>
        <w:tabs>
          <w:tab w:val="left" w:pos="780"/>
        </w:tabs>
        <w:spacing w:line="360" w:lineRule="auto"/>
        <w:ind w:left="315" w:leftChars="150"/>
      </w:pPr>
      <w:r>
        <w:rPr>
          <w:rFonts w:hint="eastAsia"/>
        </w:rPr>
        <w:t>运行报告是否按时提交，完成情况是否满意</w:t>
      </w:r>
    </w:p>
    <w:p>
      <w:pPr>
        <w:pStyle w:val="14"/>
        <w:numPr>
          <w:ilvl w:val="0"/>
          <w:numId w:val="8"/>
        </w:numPr>
        <w:spacing w:line="360" w:lineRule="auto"/>
        <w:rPr>
          <w:rFonts w:ascii="宋体" w:hAnsi="宋体" w:eastAsia="宋体"/>
          <w:snapToGrid/>
          <w:color w:val="auto"/>
          <w:sz w:val="24"/>
          <w:szCs w:val="24"/>
        </w:rPr>
      </w:pPr>
      <w:r>
        <w:rPr>
          <w:rFonts w:hint="eastAsia" w:ascii="宋体" w:hAnsi="宋体" w:eastAsia="宋体"/>
          <w:snapToGrid/>
          <w:color w:val="auto"/>
          <w:sz w:val="24"/>
          <w:szCs w:val="24"/>
        </w:rPr>
        <w:t>保密</w:t>
      </w:r>
    </w:p>
    <w:p>
      <w:pPr>
        <w:numPr>
          <w:ilvl w:val="0"/>
          <w:numId w:val="10"/>
        </w:numPr>
        <w:tabs>
          <w:tab w:val="left" w:pos="780"/>
        </w:tabs>
        <w:spacing w:line="360" w:lineRule="auto"/>
        <w:ind w:left="315" w:leftChars="150"/>
      </w:pPr>
      <w:r>
        <w:rPr>
          <w:rFonts w:hint="eastAsia"/>
        </w:rPr>
        <w:t>有无泄露甲方商业秘密，是否造成损失</w:t>
      </w:r>
    </w:p>
    <w:p>
      <w:pPr>
        <w:pStyle w:val="14"/>
        <w:numPr>
          <w:ilvl w:val="0"/>
          <w:numId w:val="8"/>
        </w:numPr>
        <w:spacing w:line="360" w:lineRule="auto"/>
        <w:rPr>
          <w:rFonts w:ascii="宋体" w:hAnsi="宋体" w:eastAsia="宋体"/>
          <w:snapToGrid/>
          <w:color w:val="auto"/>
          <w:sz w:val="24"/>
          <w:szCs w:val="24"/>
        </w:rPr>
      </w:pPr>
      <w:r>
        <w:rPr>
          <w:rFonts w:hint="eastAsia" w:ascii="宋体" w:hAnsi="宋体" w:eastAsia="宋体"/>
          <w:snapToGrid/>
          <w:color w:val="auto"/>
          <w:sz w:val="24"/>
          <w:szCs w:val="24"/>
        </w:rPr>
        <w:t>培训</w:t>
      </w:r>
    </w:p>
    <w:p>
      <w:pPr>
        <w:numPr>
          <w:ilvl w:val="0"/>
          <w:numId w:val="10"/>
        </w:numPr>
        <w:tabs>
          <w:tab w:val="left" w:pos="780"/>
        </w:tabs>
        <w:spacing w:line="360" w:lineRule="auto"/>
        <w:ind w:left="315" w:leftChars="150"/>
      </w:pPr>
      <w:r>
        <w:rPr>
          <w:rFonts w:hint="eastAsia"/>
        </w:rPr>
        <w:t>乙方提供的培训是否能够按质按量完成</w:t>
      </w:r>
    </w:p>
    <w:p>
      <w:pPr>
        <w:pStyle w:val="14"/>
        <w:numPr>
          <w:ilvl w:val="0"/>
          <w:numId w:val="8"/>
        </w:numPr>
        <w:spacing w:line="360" w:lineRule="auto"/>
        <w:rPr>
          <w:rFonts w:ascii="宋体" w:hAnsi="宋体" w:eastAsia="宋体"/>
          <w:snapToGrid/>
          <w:color w:val="auto"/>
          <w:sz w:val="24"/>
          <w:szCs w:val="24"/>
        </w:rPr>
      </w:pPr>
      <w:r>
        <w:rPr>
          <w:rFonts w:hint="eastAsia" w:ascii="宋体" w:hAnsi="宋体" w:eastAsia="宋体"/>
          <w:snapToGrid/>
          <w:color w:val="auto"/>
          <w:sz w:val="24"/>
          <w:szCs w:val="24"/>
        </w:rPr>
        <w:t>系统运行维护</w:t>
      </w:r>
    </w:p>
    <w:p>
      <w:pPr>
        <w:numPr>
          <w:ilvl w:val="0"/>
          <w:numId w:val="10"/>
        </w:numPr>
        <w:tabs>
          <w:tab w:val="left" w:pos="780"/>
        </w:tabs>
        <w:spacing w:line="360" w:lineRule="auto"/>
        <w:ind w:left="315" w:leftChars="150"/>
      </w:pPr>
      <w:r>
        <w:rPr>
          <w:rFonts w:hint="eastAsia"/>
        </w:rPr>
        <w:t>问题响应时间是否符合要求</w:t>
      </w:r>
    </w:p>
    <w:p>
      <w:pPr>
        <w:numPr>
          <w:ilvl w:val="0"/>
          <w:numId w:val="10"/>
        </w:numPr>
        <w:tabs>
          <w:tab w:val="left" w:pos="780"/>
        </w:tabs>
        <w:spacing w:line="360" w:lineRule="auto"/>
        <w:ind w:left="315" w:leftChars="150"/>
      </w:pPr>
      <w:r>
        <w:rPr>
          <w:rFonts w:hint="eastAsia"/>
        </w:rPr>
        <w:t>问题处理率是否符合要求</w:t>
      </w:r>
    </w:p>
    <w:p>
      <w:pPr>
        <w:numPr>
          <w:ilvl w:val="0"/>
          <w:numId w:val="10"/>
        </w:numPr>
        <w:tabs>
          <w:tab w:val="left" w:pos="780"/>
        </w:tabs>
        <w:spacing w:line="360" w:lineRule="auto"/>
        <w:ind w:left="315" w:leftChars="150"/>
      </w:pPr>
      <w:r>
        <w:rPr>
          <w:rFonts w:hint="eastAsia"/>
        </w:rPr>
        <w:t>累计不可用时间是否超过要求</w:t>
      </w:r>
    </w:p>
    <w:p>
      <w:pPr>
        <w:numPr>
          <w:ilvl w:val="0"/>
          <w:numId w:val="10"/>
        </w:numPr>
        <w:tabs>
          <w:tab w:val="left" w:pos="780"/>
        </w:tabs>
        <w:spacing w:line="360" w:lineRule="auto"/>
        <w:ind w:left="315" w:leftChars="150"/>
      </w:pPr>
      <w:r>
        <w:rPr>
          <w:rFonts w:hint="eastAsia"/>
        </w:rPr>
        <w:t>是否出现重大事故，处理结果是否满意；重大问题是否及时报告</w:t>
      </w:r>
    </w:p>
    <w:p>
      <w:pPr>
        <w:pStyle w:val="14"/>
        <w:numPr>
          <w:ilvl w:val="0"/>
          <w:numId w:val="8"/>
        </w:numPr>
        <w:spacing w:line="360" w:lineRule="auto"/>
        <w:rPr>
          <w:rFonts w:ascii="宋体" w:hAnsi="宋体" w:eastAsia="宋体"/>
          <w:snapToGrid/>
          <w:color w:val="auto"/>
          <w:sz w:val="24"/>
          <w:szCs w:val="24"/>
        </w:rPr>
      </w:pPr>
      <w:r>
        <w:rPr>
          <w:rFonts w:hint="eastAsia" w:ascii="宋体" w:hAnsi="宋体" w:eastAsia="宋体"/>
          <w:snapToGrid/>
          <w:color w:val="auto"/>
          <w:sz w:val="24"/>
          <w:szCs w:val="24"/>
        </w:rPr>
        <w:t>制度遵守</w:t>
      </w:r>
    </w:p>
    <w:p>
      <w:pPr>
        <w:numPr>
          <w:ilvl w:val="0"/>
          <w:numId w:val="10"/>
        </w:numPr>
        <w:tabs>
          <w:tab w:val="left" w:pos="780"/>
        </w:tabs>
        <w:spacing w:line="360" w:lineRule="auto"/>
        <w:ind w:left="315" w:leftChars="150"/>
      </w:pPr>
      <w:r>
        <w:rPr>
          <w:rFonts w:hint="eastAsia"/>
        </w:rPr>
        <w:t>服务人员是否违反我行制度，处理结果是否满意</w:t>
      </w:r>
    </w:p>
    <w:p>
      <w:pPr>
        <w:numPr>
          <w:ilvl w:val="0"/>
          <w:numId w:val="10"/>
        </w:numPr>
        <w:tabs>
          <w:tab w:val="left" w:pos="780"/>
        </w:tabs>
        <w:spacing w:line="360" w:lineRule="auto"/>
        <w:ind w:left="315" w:leftChars="150"/>
      </w:pPr>
      <w:r>
        <w:rPr>
          <w:rFonts w:hint="eastAsia"/>
        </w:rPr>
        <w:t>服务人员是否受到投诉，处理结果是否满意</w:t>
      </w:r>
    </w:p>
    <w:p>
      <w:pPr>
        <w:pStyle w:val="2"/>
        <w:spacing w:line="360" w:lineRule="auto"/>
      </w:pPr>
      <w:bookmarkStart w:id="40" w:name="_Toc181435609"/>
      <w:r>
        <w:t>款项支付</w:t>
      </w:r>
      <w:bookmarkEnd w:id="40"/>
    </w:p>
    <w:p>
      <w:pPr>
        <w:tabs>
          <w:tab w:val="left" w:pos="780"/>
          <w:tab w:val="left" w:pos="1020"/>
        </w:tabs>
        <w:spacing w:line="360" w:lineRule="auto"/>
        <w:ind w:firstLine="480" w:firstLineChars="200"/>
        <w:rPr>
          <w:rFonts w:ascii="宋体" w:hAnsi="宋体"/>
          <w:sz w:val="24"/>
          <w:szCs w:val="24"/>
        </w:rPr>
      </w:pPr>
      <w:r>
        <w:rPr>
          <w:rFonts w:hint="eastAsia" w:ascii="宋体" w:hAnsi="宋体"/>
          <w:sz w:val="24"/>
          <w:szCs w:val="24"/>
        </w:rPr>
        <w:t>本项目按合同金额由供应商包干完成。在供应商正常履约的情况下，合同款项在合同生效后每半年支付一次，共支付六次，支付金额为年度合同金额的50%。</w:t>
      </w:r>
    </w:p>
    <w:sectPr>
      <w:headerReference r:id="rId10" w:type="default"/>
      <w:footerReference r:id="rId11" w:type="default"/>
      <w:footerReference r:id="rId12" w:type="even"/>
      <w:pgSz w:w="11906" w:h="16838"/>
      <w:pgMar w:top="851" w:right="1134" w:bottom="851"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280"/>
      </w:tabs>
      <w:ind w:right="2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ind w:right="-154"/>
      <w:rPr>
        <w:rFonts w:ascii="宋体"/>
        <w:color w:val="000000"/>
        <w:sz w:val="18"/>
        <w:szCs w:val="18"/>
        <w:lang w:val="zh-CN"/>
      </w:rPr>
    </w:pPr>
    <w:r>
      <w:rPr>
        <w:rFonts w:hint="eastAsia" w:ascii="宋体"/>
        <w:color w:val="000000"/>
        <w:sz w:val="18"/>
        <w:szCs w:val="18"/>
        <w:lang w:val="zh-CN"/>
      </w:rPr>
      <w:t>____________________________________________________________________________________________</w:t>
    </w:r>
  </w:p>
  <w:p>
    <w:pPr>
      <w:autoSpaceDE w:val="0"/>
      <w:autoSpaceDN w:val="0"/>
      <w:adjustRightInd w:val="0"/>
      <w:ind w:right="-154"/>
      <w:jc w:val="right"/>
      <w:rPr>
        <w:rFonts w:ascii="宋体"/>
        <w:color w:val="000000"/>
        <w:sz w:val="18"/>
        <w:szCs w:val="18"/>
        <w:lang w:val="zh-CN"/>
      </w:rPr>
    </w:pPr>
    <w:r>
      <w:rPr>
        <w:rFonts w:hint="eastAsia"/>
        <w:sz w:val="18"/>
        <w:szCs w:val="21"/>
      </w:rPr>
      <w:t xml:space="preserve">第 </w:t>
    </w:r>
    <w:r>
      <w:rPr>
        <w:rStyle w:val="26"/>
        <w:sz w:val="18"/>
        <w:szCs w:val="18"/>
      </w:rPr>
      <w:fldChar w:fldCharType="begin"/>
    </w:r>
    <w:r>
      <w:rPr>
        <w:rStyle w:val="26"/>
        <w:sz w:val="18"/>
        <w:szCs w:val="18"/>
      </w:rPr>
      <w:instrText xml:space="preserve"> PAGE </w:instrText>
    </w:r>
    <w:r>
      <w:rPr>
        <w:rStyle w:val="26"/>
        <w:sz w:val="18"/>
        <w:szCs w:val="18"/>
      </w:rPr>
      <w:fldChar w:fldCharType="separate"/>
    </w:r>
    <w:r>
      <w:rPr>
        <w:rStyle w:val="26"/>
        <w:sz w:val="18"/>
        <w:szCs w:val="18"/>
      </w:rPr>
      <w:t>i</w:t>
    </w:r>
    <w:r>
      <w:rPr>
        <w:rStyle w:val="26"/>
        <w:sz w:val="18"/>
        <w:szCs w:val="18"/>
      </w:rPr>
      <w:fldChar w:fldCharType="end"/>
    </w:r>
    <w:r>
      <w:rPr>
        <w:rFonts w:hint="eastAsia"/>
        <w:sz w:val="18"/>
        <w:szCs w:val="21"/>
      </w:rPr>
      <w:t xml:space="preserve"> 页</w:t>
    </w:r>
  </w:p>
  <w:p>
    <w:pPr>
      <w:autoSpaceDE w:val="0"/>
      <w:autoSpaceDN w:val="0"/>
      <w:adjustRightInd w:val="0"/>
      <w:rPr>
        <w:rFonts w:ascii="宋体"/>
        <w:color w:val="000000"/>
        <w:sz w:val="18"/>
        <w:szCs w:val="18"/>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ind w:right="-154"/>
      <w:rPr>
        <w:rFonts w:ascii="宋体"/>
        <w:color w:val="000000"/>
        <w:sz w:val="18"/>
        <w:szCs w:val="18"/>
        <w:lang w:val="zh-CN"/>
      </w:rPr>
    </w:pPr>
    <w:r>
      <w:rPr>
        <w:rFonts w:hint="eastAsia" w:ascii="宋体"/>
        <w:color w:val="000000"/>
        <w:sz w:val="18"/>
        <w:szCs w:val="18"/>
        <w:lang w:val="zh-CN"/>
      </w:rPr>
      <w:t>____________________________________________________________________________________________</w:t>
    </w:r>
  </w:p>
  <w:p>
    <w:pPr>
      <w:autoSpaceDE w:val="0"/>
      <w:autoSpaceDN w:val="0"/>
      <w:adjustRightInd w:val="0"/>
      <w:ind w:right="-154"/>
      <w:jc w:val="right"/>
      <w:rPr>
        <w:rFonts w:ascii="宋体"/>
        <w:color w:val="000000"/>
        <w:sz w:val="18"/>
        <w:szCs w:val="18"/>
        <w:lang w:val="zh-CN"/>
      </w:rPr>
    </w:pPr>
    <w:r>
      <w:rPr>
        <w:rFonts w:hint="eastAsia"/>
        <w:sz w:val="18"/>
        <w:szCs w:val="21"/>
      </w:rPr>
      <w:t xml:space="preserve">第 </w:t>
    </w:r>
    <w:r>
      <w:rPr>
        <w:rStyle w:val="26"/>
        <w:sz w:val="18"/>
        <w:szCs w:val="18"/>
      </w:rPr>
      <w:fldChar w:fldCharType="begin"/>
    </w:r>
    <w:r>
      <w:rPr>
        <w:rStyle w:val="26"/>
        <w:sz w:val="18"/>
        <w:szCs w:val="18"/>
      </w:rPr>
      <w:instrText xml:space="preserve"> PAGE </w:instrText>
    </w:r>
    <w:r>
      <w:rPr>
        <w:rStyle w:val="26"/>
        <w:sz w:val="18"/>
        <w:szCs w:val="18"/>
      </w:rPr>
      <w:fldChar w:fldCharType="separate"/>
    </w:r>
    <w:r>
      <w:rPr>
        <w:rStyle w:val="26"/>
        <w:sz w:val="18"/>
        <w:szCs w:val="18"/>
      </w:rPr>
      <w:t>ii</w:t>
    </w:r>
    <w:r>
      <w:rPr>
        <w:rStyle w:val="26"/>
        <w:sz w:val="18"/>
        <w:szCs w:val="18"/>
      </w:rPr>
      <w:fldChar w:fldCharType="end"/>
    </w:r>
    <w:r>
      <w:rPr>
        <w:rFonts w:hint="eastAsia"/>
        <w:sz w:val="18"/>
        <w:szCs w:val="21"/>
      </w:rPr>
      <w:t xml:space="preserve"> 页</w:t>
    </w:r>
  </w:p>
  <w:p>
    <w:pPr>
      <w:autoSpaceDE w:val="0"/>
      <w:autoSpaceDN w:val="0"/>
      <w:adjustRightInd w:val="0"/>
      <w:rPr>
        <w:rFonts w:ascii="宋体"/>
        <w:color w:val="000000"/>
        <w:sz w:val="18"/>
        <w:szCs w:val="18"/>
        <w:lang w:val="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 xml:space="preserve">         </w:t>
    </w:r>
    <w:r>
      <w:rPr>
        <w:rStyle w:val="26"/>
      </w:rPr>
      <w:fldChar w:fldCharType="begin"/>
    </w:r>
    <w:r>
      <w:rPr>
        <w:rStyle w:val="26"/>
      </w:rPr>
      <w:instrText xml:space="preserve"> PAGE </w:instrText>
    </w:r>
    <w:r>
      <w:rPr>
        <w:rStyle w:val="26"/>
      </w:rPr>
      <w:fldChar w:fldCharType="separate"/>
    </w:r>
    <w:r>
      <w:rPr>
        <w:rStyle w:val="26"/>
      </w:rPr>
      <w:t>7</w:t>
    </w:r>
    <w:r>
      <w:rPr>
        <w:rStyle w:val="2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0288" behindDoc="0" locked="0" layoutInCell="1" allowOverlap="1">
          <wp:simplePos x="0" y="0"/>
          <wp:positionH relativeFrom="column">
            <wp:posOffset>35560</wp:posOffset>
          </wp:positionH>
          <wp:positionV relativeFrom="paragraph">
            <wp:posOffset>-297180</wp:posOffset>
          </wp:positionV>
          <wp:extent cx="2162810" cy="411480"/>
          <wp:effectExtent l="0" t="0" r="8890" b="7620"/>
          <wp:wrapTopAndBottom/>
          <wp:docPr id="2" name="图片 2" descr="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62810" cy="4114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drawing>
        <wp:anchor distT="0" distB="0" distL="114300" distR="114300" simplePos="0" relativeHeight="251659264" behindDoc="0" locked="0" layoutInCell="0" allowOverlap="1">
          <wp:simplePos x="0" y="0"/>
          <wp:positionH relativeFrom="column">
            <wp:posOffset>0</wp:posOffset>
          </wp:positionH>
          <wp:positionV relativeFrom="paragraph">
            <wp:posOffset>62865</wp:posOffset>
          </wp:positionV>
          <wp:extent cx="1485900" cy="27051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85900" cy="270510"/>
                  </a:xfrm>
                  <a:prstGeom prst="rect">
                    <a:avLst/>
                  </a:prstGeom>
                  <a:noFill/>
                  <a:ln>
                    <a:noFill/>
                  </a:ln>
                </pic:spPr>
              </pic:pic>
            </a:graphicData>
          </a:graphic>
        </wp:anchor>
      </w:drawing>
    </w:r>
    <w:r>
      <w:rPr>
        <w:rFonts w:hint="eastAsia"/>
      </w:rPr>
      <w:t xml:space="preserve">                           </w:t>
    </w:r>
  </w:p>
  <w:p>
    <w:pPr>
      <w:pStyle w:val="17"/>
      <w:jc w:val="both"/>
    </w:pPr>
    <w:r>
      <w:rPr>
        <w:rFonts w:hint="eastAsia"/>
      </w:rPr>
      <w:t xml:space="preserve">                            </w:t>
    </w:r>
  </w:p>
  <w:p>
    <w:pPr>
      <w:pStyle w:val="17"/>
      <w:jc w:val="both"/>
      <w:rPr>
        <w:b/>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1580C"/>
    <w:multiLevelType w:val="multilevel"/>
    <w:tmpl w:val="15B1580C"/>
    <w:lvl w:ilvl="0" w:tentative="0">
      <w:start w:val="3"/>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1404"/>
        </w:tabs>
        <w:ind w:left="1404" w:hanging="420"/>
      </w:pPr>
    </w:lvl>
    <w:lvl w:ilvl="2" w:tentative="0">
      <w:start w:val="1"/>
      <w:numFmt w:val="lowerRoman"/>
      <w:lvlText w:val="%3."/>
      <w:lvlJc w:val="right"/>
      <w:pPr>
        <w:tabs>
          <w:tab w:val="left" w:pos="1824"/>
        </w:tabs>
        <w:ind w:left="1824" w:hanging="420"/>
      </w:pPr>
    </w:lvl>
    <w:lvl w:ilvl="3" w:tentative="0">
      <w:start w:val="1"/>
      <w:numFmt w:val="decimal"/>
      <w:lvlText w:val="%4."/>
      <w:lvlJc w:val="left"/>
      <w:pPr>
        <w:tabs>
          <w:tab w:val="left" w:pos="2244"/>
        </w:tabs>
        <w:ind w:left="2244" w:hanging="420"/>
      </w:pPr>
    </w:lvl>
    <w:lvl w:ilvl="4" w:tentative="0">
      <w:start w:val="1"/>
      <w:numFmt w:val="lowerLetter"/>
      <w:pStyle w:val="5"/>
      <w:lvlText w:val="%5)"/>
      <w:lvlJc w:val="left"/>
      <w:pPr>
        <w:tabs>
          <w:tab w:val="left" w:pos="2664"/>
        </w:tabs>
        <w:ind w:left="2664" w:hanging="420"/>
      </w:pPr>
    </w:lvl>
    <w:lvl w:ilvl="5" w:tentative="0">
      <w:start w:val="1"/>
      <w:numFmt w:val="lowerRoman"/>
      <w:lvlText w:val="%6."/>
      <w:lvlJc w:val="right"/>
      <w:pPr>
        <w:tabs>
          <w:tab w:val="left" w:pos="3084"/>
        </w:tabs>
        <w:ind w:left="3084" w:hanging="420"/>
      </w:pPr>
    </w:lvl>
    <w:lvl w:ilvl="6" w:tentative="0">
      <w:start w:val="1"/>
      <w:numFmt w:val="decimal"/>
      <w:lvlText w:val="%7."/>
      <w:lvlJc w:val="left"/>
      <w:pPr>
        <w:tabs>
          <w:tab w:val="left" w:pos="3504"/>
        </w:tabs>
        <w:ind w:left="3504" w:hanging="420"/>
      </w:pPr>
    </w:lvl>
    <w:lvl w:ilvl="7" w:tentative="0">
      <w:start w:val="1"/>
      <w:numFmt w:val="lowerLetter"/>
      <w:lvlText w:val="%8)"/>
      <w:lvlJc w:val="left"/>
      <w:pPr>
        <w:tabs>
          <w:tab w:val="left" w:pos="3924"/>
        </w:tabs>
        <w:ind w:left="3924" w:hanging="420"/>
      </w:pPr>
    </w:lvl>
    <w:lvl w:ilvl="8" w:tentative="0">
      <w:start w:val="1"/>
      <w:numFmt w:val="lowerRoman"/>
      <w:lvlText w:val="%9."/>
      <w:lvlJc w:val="right"/>
      <w:pPr>
        <w:tabs>
          <w:tab w:val="left" w:pos="4344"/>
        </w:tabs>
        <w:ind w:left="4344" w:hanging="420"/>
      </w:pPr>
    </w:lvl>
  </w:abstractNum>
  <w:abstractNum w:abstractNumId="1">
    <w:nsid w:val="2EDF6276"/>
    <w:multiLevelType w:val="multilevel"/>
    <w:tmpl w:val="2EDF6276"/>
    <w:lvl w:ilvl="0" w:tentative="0">
      <w:start w:val="1"/>
      <w:numFmt w:val="bullet"/>
      <w:lvlText w:val=""/>
      <w:lvlJc w:val="left"/>
      <w:pPr>
        <w:tabs>
          <w:tab w:val="left" w:pos="420"/>
        </w:tabs>
        <w:ind w:left="420" w:hanging="420"/>
      </w:pPr>
      <w:rPr>
        <w:rFonts w:hint="default" w:ascii="Wingdings" w:hAnsi="Wingdings"/>
        <w:sz w:val="11"/>
        <w:szCs w:val="1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193157C"/>
    <w:multiLevelType w:val="multilevel"/>
    <w:tmpl w:val="3193157C"/>
    <w:lvl w:ilvl="0" w:tentative="0">
      <w:start w:val="1"/>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3960977"/>
    <w:multiLevelType w:val="multilevel"/>
    <w:tmpl w:val="439609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035F71"/>
    <w:multiLevelType w:val="multilevel"/>
    <w:tmpl w:val="4F035F71"/>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5">
    <w:nsid w:val="581A1A0A"/>
    <w:multiLevelType w:val="multilevel"/>
    <w:tmpl w:val="581A1A0A"/>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A2D3001"/>
    <w:multiLevelType w:val="multilevel"/>
    <w:tmpl w:val="5A2D3001"/>
    <w:lvl w:ilvl="0" w:tentative="0">
      <w:start w:val="1"/>
      <w:numFmt w:val="bullet"/>
      <w:lvlText w:val=""/>
      <w:lvlJc w:val="left"/>
      <w:pPr>
        <w:tabs>
          <w:tab w:val="left" w:pos="1350"/>
        </w:tabs>
        <w:ind w:left="1350" w:hanging="420"/>
      </w:pPr>
      <w:rPr>
        <w:rFonts w:hint="default" w:ascii="Wingdings" w:hAnsi="Wingdings"/>
      </w:rPr>
    </w:lvl>
    <w:lvl w:ilvl="1" w:tentative="0">
      <w:start w:val="1"/>
      <w:numFmt w:val="decimal"/>
      <w:lvlText w:val="%2)"/>
      <w:lvlJc w:val="left"/>
      <w:pPr>
        <w:tabs>
          <w:tab w:val="left" w:pos="1770"/>
        </w:tabs>
        <w:ind w:left="1770" w:hanging="420"/>
      </w:pPr>
    </w:lvl>
    <w:lvl w:ilvl="2" w:tentative="0">
      <w:start w:val="1"/>
      <w:numFmt w:val="decimal"/>
      <w:lvlText w:val="%3．"/>
      <w:lvlJc w:val="left"/>
      <w:pPr>
        <w:tabs>
          <w:tab w:val="left" w:pos="2130"/>
        </w:tabs>
        <w:ind w:left="2130" w:hanging="360"/>
      </w:pPr>
      <w:rPr>
        <w:rFonts w:hint="eastAsia"/>
      </w:rPr>
    </w:lvl>
    <w:lvl w:ilvl="3" w:tentative="0">
      <w:start w:val="1"/>
      <w:numFmt w:val="bullet"/>
      <w:lvlText w:val=""/>
      <w:lvlJc w:val="left"/>
      <w:pPr>
        <w:tabs>
          <w:tab w:val="left" w:pos="2610"/>
        </w:tabs>
        <w:ind w:left="2610" w:hanging="420"/>
      </w:pPr>
      <w:rPr>
        <w:rFonts w:hint="default" w:ascii="Wingdings" w:hAnsi="Wingdings"/>
      </w:rPr>
    </w:lvl>
    <w:lvl w:ilvl="4" w:tentative="0">
      <w:start w:val="1"/>
      <w:numFmt w:val="lowerLetter"/>
      <w:lvlText w:val="%5)"/>
      <w:lvlJc w:val="left"/>
      <w:pPr>
        <w:tabs>
          <w:tab w:val="left" w:pos="3030"/>
        </w:tabs>
        <w:ind w:left="3030" w:hanging="420"/>
      </w:pPr>
    </w:lvl>
    <w:lvl w:ilvl="5" w:tentative="0">
      <w:start w:val="1"/>
      <w:numFmt w:val="lowerRoman"/>
      <w:lvlText w:val="%6."/>
      <w:lvlJc w:val="right"/>
      <w:pPr>
        <w:tabs>
          <w:tab w:val="left" w:pos="3450"/>
        </w:tabs>
        <w:ind w:left="3450" w:hanging="420"/>
      </w:pPr>
    </w:lvl>
    <w:lvl w:ilvl="6" w:tentative="0">
      <w:start w:val="1"/>
      <w:numFmt w:val="decimal"/>
      <w:lvlText w:val="%7."/>
      <w:lvlJc w:val="left"/>
      <w:pPr>
        <w:tabs>
          <w:tab w:val="left" w:pos="3870"/>
        </w:tabs>
        <w:ind w:left="3870" w:hanging="420"/>
      </w:pPr>
    </w:lvl>
    <w:lvl w:ilvl="7" w:tentative="0">
      <w:start w:val="1"/>
      <w:numFmt w:val="lowerLetter"/>
      <w:lvlText w:val="%8)"/>
      <w:lvlJc w:val="left"/>
      <w:pPr>
        <w:tabs>
          <w:tab w:val="left" w:pos="4290"/>
        </w:tabs>
        <w:ind w:left="4290" w:hanging="420"/>
      </w:pPr>
    </w:lvl>
    <w:lvl w:ilvl="8" w:tentative="0">
      <w:start w:val="1"/>
      <w:numFmt w:val="lowerRoman"/>
      <w:lvlText w:val="%9."/>
      <w:lvlJc w:val="right"/>
      <w:pPr>
        <w:tabs>
          <w:tab w:val="left" w:pos="4710"/>
        </w:tabs>
        <w:ind w:left="4710" w:hanging="420"/>
      </w:pPr>
    </w:lvl>
  </w:abstractNum>
  <w:abstractNum w:abstractNumId="7">
    <w:nsid w:val="6B090CC8"/>
    <w:multiLevelType w:val="multilevel"/>
    <w:tmpl w:val="6B090CC8"/>
    <w:lvl w:ilvl="0" w:tentative="0">
      <w:start w:val="1"/>
      <w:numFmt w:val="decimal"/>
      <w:lvlText w:val="%1."/>
      <w:lvlJc w:val="left"/>
      <w:pPr>
        <w:tabs>
          <w:tab w:val="left" w:pos="900"/>
        </w:tabs>
        <w:ind w:left="900" w:hanging="420"/>
      </w:pPr>
      <w:rPr>
        <w:rFonts w:hint="eastAsia"/>
      </w:rPr>
    </w:lvl>
    <w:lvl w:ilvl="1" w:tentative="0">
      <w:start w:val="1"/>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7A4E53F1"/>
    <w:multiLevelType w:val="multilevel"/>
    <w:tmpl w:val="7A4E53F1"/>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E125F3D"/>
    <w:multiLevelType w:val="multilevel"/>
    <w:tmpl w:val="7E125F3D"/>
    <w:lvl w:ilvl="0" w:tentative="0">
      <w:start w:val="1"/>
      <w:numFmt w:val="decimal"/>
      <w:lvlText w:val="%1."/>
      <w:lvlJc w:val="left"/>
      <w:pPr>
        <w:tabs>
          <w:tab w:val="left" w:pos="846"/>
        </w:tabs>
        <w:ind w:left="846" w:hanging="420"/>
      </w:p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num w:numId="1">
    <w:abstractNumId w:val="0"/>
  </w:num>
  <w:num w:numId="2">
    <w:abstractNumId w:val="3"/>
  </w:num>
  <w:num w:numId="3">
    <w:abstractNumId w:val="2"/>
  </w:num>
  <w:num w:numId="4">
    <w:abstractNumId w:val="1"/>
  </w:num>
  <w:num w:numId="5">
    <w:abstractNumId w:val="8"/>
  </w:num>
  <w:num w:numId="6">
    <w:abstractNumId w:val="7"/>
  </w:num>
  <w:num w:numId="7">
    <w:abstractNumId w:val="5"/>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ZjkwMWYyOTIwYTFlMWNlYjRmNjU3MmI2MmVmMTEifQ=="/>
  </w:docVars>
  <w:rsids>
    <w:rsidRoot w:val="009021A6"/>
    <w:rsid w:val="000056AD"/>
    <w:rsid w:val="00014022"/>
    <w:rsid w:val="0002151B"/>
    <w:rsid w:val="00030D58"/>
    <w:rsid w:val="0003665E"/>
    <w:rsid w:val="000400CE"/>
    <w:rsid w:val="000415BA"/>
    <w:rsid w:val="0005108F"/>
    <w:rsid w:val="00055A66"/>
    <w:rsid w:val="000617C5"/>
    <w:rsid w:val="000717E9"/>
    <w:rsid w:val="0007326E"/>
    <w:rsid w:val="00075EE7"/>
    <w:rsid w:val="00086E41"/>
    <w:rsid w:val="00097E77"/>
    <w:rsid w:val="00097FAD"/>
    <w:rsid w:val="000B15B0"/>
    <w:rsid w:val="000C3450"/>
    <w:rsid w:val="000C720C"/>
    <w:rsid w:val="000D18C7"/>
    <w:rsid w:val="000D60DB"/>
    <w:rsid w:val="000E45C9"/>
    <w:rsid w:val="000E665A"/>
    <w:rsid w:val="000F2444"/>
    <w:rsid w:val="000F660B"/>
    <w:rsid w:val="00105468"/>
    <w:rsid w:val="00107B71"/>
    <w:rsid w:val="00107B98"/>
    <w:rsid w:val="001146E5"/>
    <w:rsid w:val="00116A03"/>
    <w:rsid w:val="0012146E"/>
    <w:rsid w:val="001323CE"/>
    <w:rsid w:val="001347A6"/>
    <w:rsid w:val="0013735D"/>
    <w:rsid w:val="0014168B"/>
    <w:rsid w:val="0014216B"/>
    <w:rsid w:val="00150030"/>
    <w:rsid w:val="00153E90"/>
    <w:rsid w:val="00165798"/>
    <w:rsid w:val="0017084A"/>
    <w:rsid w:val="00171947"/>
    <w:rsid w:val="0017367F"/>
    <w:rsid w:val="001738F5"/>
    <w:rsid w:val="001806A8"/>
    <w:rsid w:val="00180D5C"/>
    <w:rsid w:val="00184B37"/>
    <w:rsid w:val="001A13B9"/>
    <w:rsid w:val="001A4D66"/>
    <w:rsid w:val="001A6757"/>
    <w:rsid w:val="001C68DB"/>
    <w:rsid w:val="001D2DD5"/>
    <w:rsid w:val="001D4F20"/>
    <w:rsid w:val="001F02FA"/>
    <w:rsid w:val="001F4923"/>
    <w:rsid w:val="001F6863"/>
    <w:rsid w:val="002011A2"/>
    <w:rsid w:val="002059CA"/>
    <w:rsid w:val="00207F37"/>
    <w:rsid w:val="0021070E"/>
    <w:rsid w:val="00213BC3"/>
    <w:rsid w:val="00214AE3"/>
    <w:rsid w:val="00216ABE"/>
    <w:rsid w:val="002348F4"/>
    <w:rsid w:val="00237FEB"/>
    <w:rsid w:val="00240728"/>
    <w:rsid w:val="00251070"/>
    <w:rsid w:val="00257079"/>
    <w:rsid w:val="0026024E"/>
    <w:rsid w:val="00260427"/>
    <w:rsid w:val="0026333E"/>
    <w:rsid w:val="00270440"/>
    <w:rsid w:val="002725DB"/>
    <w:rsid w:val="00275FBA"/>
    <w:rsid w:val="002905B8"/>
    <w:rsid w:val="002A1876"/>
    <w:rsid w:val="002A21F6"/>
    <w:rsid w:val="002A64C5"/>
    <w:rsid w:val="002A6DA1"/>
    <w:rsid w:val="002A79B2"/>
    <w:rsid w:val="002B2870"/>
    <w:rsid w:val="002B3A56"/>
    <w:rsid w:val="002C4E20"/>
    <w:rsid w:val="002C7E59"/>
    <w:rsid w:val="002D4F92"/>
    <w:rsid w:val="002D739F"/>
    <w:rsid w:val="002D77E9"/>
    <w:rsid w:val="002E1391"/>
    <w:rsid w:val="002E1F72"/>
    <w:rsid w:val="002F12E3"/>
    <w:rsid w:val="002F23C4"/>
    <w:rsid w:val="002F3D75"/>
    <w:rsid w:val="00315B47"/>
    <w:rsid w:val="003252D1"/>
    <w:rsid w:val="003258BC"/>
    <w:rsid w:val="003271E2"/>
    <w:rsid w:val="00343ABD"/>
    <w:rsid w:val="0034738C"/>
    <w:rsid w:val="00347641"/>
    <w:rsid w:val="003530FD"/>
    <w:rsid w:val="0035432E"/>
    <w:rsid w:val="00354409"/>
    <w:rsid w:val="0035529A"/>
    <w:rsid w:val="00355E83"/>
    <w:rsid w:val="00360C63"/>
    <w:rsid w:val="0036252A"/>
    <w:rsid w:val="00370E86"/>
    <w:rsid w:val="00372BA9"/>
    <w:rsid w:val="003736A7"/>
    <w:rsid w:val="00385CC4"/>
    <w:rsid w:val="003873F0"/>
    <w:rsid w:val="00391D4D"/>
    <w:rsid w:val="00392BD0"/>
    <w:rsid w:val="00393E71"/>
    <w:rsid w:val="003A4B17"/>
    <w:rsid w:val="003B0558"/>
    <w:rsid w:val="003B1CC6"/>
    <w:rsid w:val="003B46B5"/>
    <w:rsid w:val="003B5511"/>
    <w:rsid w:val="003B6CA3"/>
    <w:rsid w:val="003B7355"/>
    <w:rsid w:val="003C0508"/>
    <w:rsid w:val="003C2E2D"/>
    <w:rsid w:val="003C47AB"/>
    <w:rsid w:val="003C5AD8"/>
    <w:rsid w:val="003C5F02"/>
    <w:rsid w:val="003D774C"/>
    <w:rsid w:val="003E3438"/>
    <w:rsid w:val="003E4485"/>
    <w:rsid w:val="003E6487"/>
    <w:rsid w:val="003E69B8"/>
    <w:rsid w:val="003F0321"/>
    <w:rsid w:val="003F2CE3"/>
    <w:rsid w:val="003F2F1F"/>
    <w:rsid w:val="003F60E6"/>
    <w:rsid w:val="00405773"/>
    <w:rsid w:val="00405AF1"/>
    <w:rsid w:val="00413EED"/>
    <w:rsid w:val="0041415C"/>
    <w:rsid w:val="00422566"/>
    <w:rsid w:val="00424E95"/>
    <w:rsid w:val="00426EEE"/>
    <w:rsid w:val="004307DB"/>
    <w:rsid w:val="0043532A"/>
    <w:rsid w:val="00437059"/>
    <w:rsid w:val="00437C33"/>
    <w:rsid w:val="004408C0"/>
    <w:rsid w:val="00442F3A"/>
    <w:rsid w:val="00444114"/>
    <w:rsid w:val="0045131F"/>
    <w:rsid w:val="004552B8"/>
    <w:rsid w:val="004558F7"/>
    <w:rsid w:val="00457965"/>
    <w:rsid w:val="00472E9A"/>
    <w:rsid w:val="00474F17"/>
    <w:rsid w:val="0047666F"/>
    <w:rsid w:val="00480D0F"/>
    <w:rsid w:val="004873AD"/>
    <w:rsid w:val="00494366"/>
    <w:rsid w:val="004A3DEE"/>
    <w:rsid w:val="004B2EEE"/>
    <w:rsid w:val="004B4BC6"/>
    <w:rsid w:val="004B67E3"/>
    <w:rsid w:val="004C13F5"/>
    <w:rsid w:val="004C1EB2"/>
    <w:rsid w:val="004C3A1E"/>
    <w:rsid w:val="004C7358"/>
    <w:rsid w:val="004D1247"/>
    <w:rsid w:val="004D166C"/>
    <w:rsid w:val="004D1F86"/>
    <w:rsid w:val="004D30A4"/>
    <w:rsid w:val="004E247C"/>
    <w:rsid w:val="004F1A22"/>
    <w:rsid w:val="004F5438"/>
    <w:rsid w:val="005038A2"/>
    <w:rsid w:val="0050410D"/>
    <w:rsid w:val="00506751"/>
    <w:rsid w:val="00507310"/>
    <w:rsid w:val="0051205F"/>
    <w:rsid w:val="005150C2"/>
    <w:rsid w:val="00515D72"/>
    <w:rsid w:val="00521080"/>
    <w:rsid w:val="00523680"/>
    <w:rsid w:val="005276B6"/>
    <w:rsid w:val="005325C9"/>
    <w:rsid w:val="00534FA5"/>
    <w:rsid w:val="00535813"/>
    <w:rsid w:val="00537D10"/>
    <w:rsid w:val="00545DFA"/>
    <w:rsid w:val="00546EDC"/>
    <w:rsid w:val="00550E7A"/>
    <w:rsid w:val="00555994"/>
    <w:rsid w:val="0055674F"/>
    <w:rsid w:val="0056206A"/>
    <w:rsid w:val="00565854"/>
    <w:rsid w:val="00567D44"/>
    <w:rsid w:val="00571F37"/>
    <w:rsid w:val="00572DC1"/>
    <w:rsid w:val="00576686"/>
    <w:rsid w:val="00577397"/>
    <w:rsid w:val="00584FF5"/>
    <w:rsid w:val="005860D6"/>
    <w:rsid w:val="00587666"/>
    <w:rsid w:val="005A030C"/>
    <w:rsid w:val="005B369C"/>
    <w:rsid w:val="005B4547"/>
    <w:rsid w:val="005C320D"/>
    <w:rsid w:val="005E5CC9"/>
    <w:rsid w:val="005F3350"/>
    <w:rsid w:val="005F6945"/>
    <w:rsid w:val="005F773F"/>
    <w:rsid w:val="006000D1"/>
    <w:rsid w:val="00600127"/>
    <w:rsid w:val="00617909"/>
    <w:rsid w:val="006209A1"/>
    <w:rsid w:val="00631603"/>
    <w:rsid w:val="006347A0"/>
    <w:rsid w:val="006437CD"/>
    <w:rsid w:val="00643CEA"/>
    <w:rsid w:val="00644605"/>
    <w:rsid w:val="006519D7"/>
    <w:rsid w:val="00654694"/>
    <w:rsid w:val="006560AE"/>
    <w:rsid w:val="006602D1"/>
    <w:rsid w:val="00670CE8"/>
    <w:rsid w:val="006723D2"/>
    <w:rsid w:val="00686C07"/>
    <w:rsid w:val="00690012"/>
    <w:rsid w:val="006A589B"/>
    <w:rsid w:val="006A7B58"/>
    <w:rsid w:val="006B4690"/>
    <w:rsid w:val="006B5C5A"/>
    <w:rsid w:val="006B7FD1"/>
    <w:rsid w:val="006C2035"/>
    <w:rsid w:val="006D5269"/>
    <w:rsid w:val="006D7EF8"/>
    <w:rsid w:val="006E07B2"/>
    <w:rsid w:val="00705671"/>
    <w:rsid w:val="007059AE"/>
    <w:rsid w:val="00707002"/>
    <w:rsid w:val="0071063A"/>
    <w:rsid w:val="00711442"/>
    <w:rsid w:val="00712306"/>
    <w:rsid w:val="0071459C"/>
    <w:rsid w:val="00714D07"/>
    <w:rsid w:val="00720B0E"/>
    <w:rsid w:val="00720ED4"/>
    <w:rsid w:val="007260D7"/>
    <w:rsid w:val="007540D5"/>
    <w:rsid w:val="00756F65"/>
    <w:rsid w:val="0075715A"/>
    <w:rsid w:val="00761866"/>
    <w:rsid w:val="00762382"/>
    <w:rsid w:val="00763B0F"/>
    <w:rsid w:val="007671D9"/>
    <w:rsid w:val="007717CE"/>
    <w:rsid w:val="0077458E"/>
    <w:rsid w:val="00774E50"/>
    <w:rsid w:val="00775341"/>
    <w:rsid w:val="0078148B"/>
    <w:rsid w:val="007A06F1"/>
    <w:rsid w:val="007A0840"/>
    <w:rsid w:val="007A6B5B"/>
    <w:rsid w:val="007B1C87"/>
    <w:rsid w:val="007B5FEB"/>
    <w:rsid w:val="007C05A0"/>
    <w:rsid w:val="007C1314"/>
    <w:rsid w:val="007C7300"/>
    <w:rsid w:val="007D3FAC"/>
    <w:rsid w:val="007D4F5B"/>
    <w:rsid w:val="007E6AE6"/>
    <w:rsid w:val="007E7F3E"/>
    <w:rsid w:val="007F5256"/>
    <w:rsid w:val="00802D8A"/>
    <w:rsid w:val="00811B2A"/>
    <w:rsid w:val="00821DF0"/>
    <w:rsid w:val="0082230C"/>
    <w:rsid w:val="008256DB"/>
    <w:rsid w:val="00827719"/>
    <w:rsid w:val="00831BB1"/>
    <w:rsid w:val="008566AD"/>
    <w:rsid w:val="00856CFE"/>
    <w:rsid w:val="00856D3D"/>
    <w:rsid w:val="00857992"/>
    <w:rsid w:val="00866465"/>
    <w:rsid w:val="008723D4"/>
    <w:rsid w:val="00873CA9"/>
    <w:rsid w:val="00875042"/>
    <w:rsid w:val="00877DDF"/>
    <w:rsid w:val="008860EF"/>
    <w:rsid w:val="008A23FC"/>
    <w:rsid w:val="008A6393"/>
    <w:rsid w:val="008A66D3"/>
    <w:rsid w:val="008A7C9E"/>
    <w:rsid w:val="008B3533"/>
    <w:rsid w:val="008B4E68"/>
    <w:rsid w:val="008D6FFC"/>
    <w:rsid w:val="008D72A1"/>
    <w:rsid w:val="008E4FAF"/>
    <w:rsid w:val="009021A6"/>
    <w:rsid w:val="00913C87"/>
    <w:rsid w:val="0093424D"/>
    <w:rsid w:val="00934434"/>
    <w:rsid w:val="00935304"/>
    <w:rsid w:val="0094235A"/>
    <w:rsid w:val="00944E55"/>
    <w:rsid w:val="0094507A"/>
    <w:rsid w:val="00950149"/>
    <w:rsid w:val="00950830"/>
    <w:rsid w:val="00952EE8"/>
    <w:rsid w:val="00956F0C"/>
    <w:rsid w:val="009634A7"/>
    <w:rsid w:val="00963D92"/>
    <w:rsid w:val="009702F3"/>
    <w:rsid w:val="009825A1"/>
    <w:rsid w:val="00991B35"/>
    <w:rsid w:val="00995348"/>
    <w:rsid w:val="009A79C4"/>
    <w:rsid w:val="009B060F"/>
    <w:rsid w:val="009B288D"/>
    <w:rsid w:val="009B360F"/>
    <w:rsid w:val="009B4620"/>
    <w:rsid w:val="009B4FD2"/>
    <w:rsid w:val="009C510B"/>
    <w:rsid w:val="009C5883"/>
    <w:rsid w:val="009D38DB"/>
    <w:rsid w:val="009D465E"/>
    <w:rsid w:val="009E3E0D"/>
    <w:rsid w:val="009E4536"/>
    <w:rsid w:val="009E5CC3"/>
    <w:rsid w:val="009E60C4"/>
    <w:rsid w:val="009F321E"/>
    <w:rsid w:val="009F53BA"/>
    <w:rsid w:val="009F6D98"/>
    <w:rsid w:val="009F7776"/>
    <w:rsid w:val="00A00588"/>
    <w:rsid w:val="00A00E59"/>
    <w:rsid w:val="00A03039"/>
    <w:rsid w:val="00A06CBC"/>
    <w:rsid w:val="00A1783D"/>
    <w:rsid w:val="00A40CB6"/>
    <w:rsid w:val="00A47B09"/>
    <w:rsid w:val="00A60A1E"/>
    <w:rsid w:val="00A677CC"/>
    <w:rsid w:val="00A771DD"/>
    <w:rsid w:val="00A77E46"/>
    <w:rsid w:val="00A81A9A"/>
    <w:rsid w:val="00A848BB"/>
    <w:rsid w:val="00A92BEE"/>
    <w:rsid w:val="00A97BEF"/>
    <w:rsid w:val="00AA11E8"/>
    <w:rsid w:val="00AA2933"/>
    <w:rsid w:val="00AA5083"/>
    <w:rsid w:val="00AC5B61"/>
    <w:rsid w:val="00AC6B22"/>
    <w:rsid w:val="00AD32D8"/>
    <w:rsid w:val="00AD4903"/>
    <w:rsid w:val="00AD4A47"/>
    <w:rsid w:val="00AE5D1E"/>
    <w:rsid w:val="00AE67EF"/>
    <w:rsid w:val="00B05530"/>
    <w:rsid w:val="00B07D20"/>
    <w:rsid w:val="00B10333"/>
    <w:rsid w:val="00B13872"/>
    <w:rsid w:val="00B14E06"/>
    <w:rsid w:val="00B23E4F"/>
    <w:rsid w:val="00B263E2"/>
    <w:rsid w:val="00B3218A"/>
    <w:rsid w:val="00B40869"/>
    <w:rsid w:val="00B417A2"/>
    <w:rsid w:val="00B4562D"/>
    <w:rsid w:val="00B51B74"/>
    <w:rsid w:val="00B5566E"/>
    <w:rsid w:val="00B55A51"/>
    <w:rsid w:val="00B6229F"/>
    <w:rsid w:val="00B73ACA"/>
    <w:rsid w:val="00B73AE3"/>
    <w:rsid w:val="00B762E5"/>
    <w:rsid w:val="00B832AD"/>
    <w:rsid w:val="00B8390E"/>
    <w:rsid w:val="00BB4855"/>
    <w:rsid w:val="00BB7694"/>
    <w:rsid w:val="00BC382E"/>
    <w:rsid w:val="00BD1404"/>
    <w:rsid w:val="00BD2697"/>
    <w:rsid w:val="00BD39F1"/>
    <w:rsid w:val="00BE28F4"/>
    <w:rsid w:val="00BE5D19"/>
    <w:rsid w:val="00BF5C13"/>
    <w:rsid w:val="00BF6BF1"/>
    <w:rsid w:val="00C03499"/>
    <w:rsid w:val="00C10FAD"/>
    <w:rsid w:val="00C279B7"/>
    <w:rsid w:val="00C3079B"/>
    <w:rsid w:val="00C32EE6"/>
    <w:rsid w:val="00C41884"/>
    <w:rsid w:val="00C43655"/>
    <w:rsid w:val="00C453E7"/>
    <w:rsid w:val="00C50E5B"/>
    <w:rsid w:val="00C5225E"/>
    <w:rsid w:val="00C5351B"/>
    <w:rsid w:val="00C55AA5"/>
    <w:rsid w:val="00C56910"/>
    <w:rsid w:val="00C57D94"/>
    <w:rsid w:val="00C661BD"/>
    <w:rsid w:val="00C675AE"/>
    <w:rsid w:val="00C800AC"/>
    <w:rsid w:val="00C81B9F"/>
    <w:rsid w:val="00C8389A"/>
    <w:rsid w:val="00C91F75"/>
    <w:rsid w:val="00C97B13"/>
    <w:rsid w:val="00CA3B44"/>
    <w:rsid w:val="00CA3BFE"/>
    <w:rsid w:val="00CA7FE1"/>
    <w:rsid w:val="00CB37E1"/>
    <w:rsid w:val="00CC062C"/>
    <w:rsid w:val="00CC1D53"/>
    <w:rsid w:val="00CC4F2C"/>
    <w:rsid w:val="00CC63C3"/>
    <w:rsid w:val="00CC7D04"/>
    <w:rsid w:val="00CC7F30"/>
    <w:rsid w:val="00CD0694"/>
    <w:rsid w:val="00CD1A57"/>
    <w:rsid w:val="00CD3EE6"/>
    <w:rsid w:val="00CE1368"/>
    <w:rsid w:val="00CE1464"/>
    <w:rsid w:val="00CE1921"/>
    <w:rsid w:val="00CE2477"/>
    <w:rsid w:val="00CF3E7A"/>
    <w:rsid w:val="00D04653"/>
    <w:rsid w:val="00D04BDB"/>
    <w:rsid w:val="00D05216"/>
    <w:rsid w:val="00D124D7"/>
    <w:rsid w:val="00D142E2"/>
    <w:rsid w:val="00D159B2"/>
    <w:rsid w:val="00D1745E"/>
    <w:rsid w:val="00D22BB6"/>
    <w:rsid w:val="00D24142"/>
    <w:rsid w:val="00D47E85"/>
    <w:rsid w:val="00D52AC0"/>
    <w:rsid w:val="00D53C00"/>
    <w:rsid w:val="00D61E87"/>
    <w:rsid w:val="00D63D36"/>
    <w:rsid w:val="00D65413"/>
    <w:rsid w:val="00D664FA"/>
    <w:rsid w:val="00D70816"/>
    <w:rsid w:val="00D82CB1"/>
    <w:rsid w:val="00D8431F"/>
    <w:rsid w:val="00D90457"/>
    <w:rsid w:val="00D9110E"/>
    <w:rsid w:val="00D91E4F"/>
    <w:rsid w:val="00D9680D"/>
    <w:rsid w:val="00DA4591"/>
    <w:rsid w:val="00DB0DA1"/>
    <w:rsid w:val="00DB420D"/>
    <w:rsid w:val="00DB59A2"/>
    <w:rsid w:val="00DC1980"/>
    <w:rsid w:val="00DD6263"/>
    <w:rsid w:val="00DD7332"/>
    <w:rsid w:val="00DE74FE"/>
    <w:rsid w:val="00DF0B68"/>
    <w:rsid w:val="00DF2004"/>
    <w:rsid w:val="00E0632D"/>
    <w:rsid w:val="00E11AC2"/>
    <w:rsid w:val="00E1632D"/>
    <w:rsid w:val="00E2345F"/>
    <w:rsid w:val="00E2618B"/>
    <w:rsid w:val="00E323E0"/>
    <w:rsid w:val="00E42883"/>
    <w:rsid w:val="00E43274"/>
    <w:rsid w:val="00E4481F"/>
    <w:rsid w:val="00E45BC7"/>
    <w:rsid w:val="00E470C9"/>
    <w:rsid w:val="00E4738F"/>
    <w:rsid w:val="00E60E28"/>
    <w:rsid w:val="00E631A9"/>
    <w:rsid w:val="00E65940"/>
    <w:rsid w:val="00E719FE"/>
    <w:rsid w:val="00E7231E"/>
    <w:rsid w:val="00E7672B"/>
    <w:rsid w:val="00E77098"/>
    <w:rsid w:val="00E81B23"/>
    <w:rsid w:val="00E82D2A"/>
    <w:rsid w:val="00E838D4"/>
    <w:rsid w:val="00E921FF"/>
    <w:rsid w:val="00E93C30"/>
    <w:rsid w:val="00EA7FDD"/>
    <w:rsid w:val="00EB0DC7"/>
    <w:rsid w:val="00EB1F14"/>
    <w:rsid w:val="00EC1D39"/>
    <w:rsid w:val="00EC31D2"/>
    <w:rsid w:val="00ED4335"/>
    <w:rsid w:val="00ED53A8"/>
    <w:rsid w:val="00EE1DEF"/>
    <w:rsid w:val="00EE52E6"/>
    <w:rsid w:val="00EE61C7"/>
    <w:rsid w:val="00EE69CB"/>
    <w:rsid w:val="00EF187D"/>
    <w:rsid w:val="00EF3816"/>
    <w:rsid w:val="00EF3D3F"/>
    <w:rsid w:val="00EF7BBE"/>
    <w:rsid w:val="00F0292E"/>
    <w:rsid w:val="00F1399E"/>
    <w:rsid w:val="00F1452B"/>
    <w:rsid w:val="00F17DF0"/>
    <w:rsid w:val="00F2172B"/>
    <w:rsid w:val="00F32048"/>
    <w:rsid w:val="00F335E6"/>
    <w:rsid w:val="00F44205"/>
    <w:rsid w:val="00F457A7"/>
    <w:rsid w:val="00F522BC"/>
    <w:rsid w:val="00F53279"/>
    <w:rsid w:val="00F553C2"/>
    <w:rsid w:val="00F55549"/>
    <w:rsid w:val="00F6466B"/>
    <w:rsid w:val="00F652F0"/>
    <w:rsid w:val="00F747D8"/>
    <w:rsid w:val="00F81372"/>
    <w:rsid w:val="00F87900"/>
    <w:rsid w:val="00FA7C8B"/>
    <w:rsid w:val="00FB3186"/>
    <w:rsid w:val="00FB4184"/>
    <w:rsid w:val="00FB53AE"/>
    <w:rsid w:val="00FE1BD9"/>
    <w:rsid w:val="00FE5EBC"/>
    <w:rsid w:val="00FF350A"/>
    <w:rsid w:val="00FF3A66"/>
    <w:rsid w:val="00FF3C22"/>
    <w:rsid w:val="00FF75B5"/>
    <w:rsid w:val="328B6502"/>
    <w:rsid w:val="4AD72BAA"/>
    <w:rsid w:val="715A3350"/>
    <w:rsid w:val="72BD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keepLines/>
      <w:numPr>
        <w:ilvl w:val="4"/>
        <w:numId w:val="1"/>
      </w:numPr>
      <w:tabs>
        <w:tab w:val="left" w:pos="1077"/>
      </w:tabs>
      <w:spacing w:before="280" w:after="290" w:line="360" w:lineRule="auto"/>
      <w:outlineLvl w:val="4"/>
    </w:pPr>
    <w:rPr>
      <w:b/>
      <w:sz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spacing w:line="360" w:lineRule="atLeast"/>
      <w:ind w:firstLine="420"/>
    </w:pPr>
    <w:rPr>
      <w:rFonts w:ascii="宋体"/>
      <w:kern w:val="0"/>
      <w:sz w:val="24"/>
    </w:rPr>
  </w:style>
  <w:style w:type="paragraph" w:styleId="7">
    <w:name w:val="Document Map"/>
    <w:basedOn w:val="1"/>
    <w:semiHidden/>
    <w:qFormat/>
    <w:uiPriority w:val="0"/>
    <w:pPr>
      <w:shd w:val="clear" w:color="auto" w:fill="000080"/>
    </w:pPr>
  </w:style>
  <w:style w:type="paragraph" w:styleId="8">
    <w:name w:val="annotation text"/>
    <w:basedOn w:val="1"/>
    <w:semiHidden/>
    <w:qFormat/>
    <w:uiPriority w:val="0"/>
    <w:pPr>
      <w:jc w:val="left"/>
    </w:pPr>
  </w:style>
  <w:style w:type="paragraph" w:styleId="9">
    <w:name w:val="Body Text"/>
    <w:basedOn w:val="1"/>
    <w:qFormat/>
    <w:uiPriority w:val="0"/>
    <w:rPr>
      <w:rFonts w:ascii="楷体_GB2312" w:eastAsia="楷体_GB2312"/>
      <w:sz w:val="28"/>
    </w:rPr>
  </w:style>
  <w:style w:type="paragraph" w:styleId="10">
    <w:name w:val="Body Text Indent"/>
    <w:basedOn w:val="1"/>
    <w:qFormat/>
    <w:uiPriority w:val="0"/>
    <w:pPr>
      <w:ind w:left="569" w:firstLine="560"/>
    </w:pPr>
    <w:rPr>
      <w:rFonts w:ascii="楷体_GB2312" w:eastAsia="楷体_GB2312"/>
      <w:sz w:val="28"/>
    </w:rPr>
  </w:style>
  <w:style w:type="paragraph" w:styleId="11">
    <w:name w:val="toc 3"/>
    <w:basedOn w:val="1"/>
    <w:next w:val="1"/>
    <w:qFormat/>
    <w:uiPriority w:val="39"/>
    <w:pPr>
      <w:ind w:left="840" w:leftChars="400"/>
    </w:pPr>
    <w:rPr>
      <w:szCs w:val="24"/>
    </w:rPr>
  </w:style>
  <w:style w:type="paragraph" w:styleId="12">
    <w:name w:val="Plain Text"/>
    <w:basedOn w:val="1"/>
    <w:qFormat/>
    <w:uiPriority w:val="0"/>
    <w:rPr>
      <w:rFonts w:ascii="宋体" w:hAnsi="Courier New"/>
    </w:rPr>
  </w:style>
  <w:style w:type="paragraph" w:styleId="13">
    <w:name w:val="Date"/>
    <w:basedOn w:val="1"/>
    <w:next w:val="1"/>
    <w:link w:val="36"/>
    <w:qFormat/>
    <w:uiPriority w:val="0"/>
    <w:pPr>
      <w:ind w:left="100" w:leftChars="2500"/>
    </w:pPr>
  </w:style>
  <w:style w:type="paragraph" w:styleId="14">
    <w:name w:val="Body Text Indent 2"/>
    <w:basedOn w:val="1"/>
    <w:qFormat/>
    <w:uiPriority w:val="0"/>
    <w:pPr>
      <w:ind w:firstLine="564"/>
    </w:pPr>
    <w:rPr>
      <w:rFonts w:ascii="楷体_GB2312" w:eastAsia="楷体_GB2312"/>
      <w:snapToGrid w:val="0"/>
      <w:color w:val="000000"/>
      <w:sz w:val="28"/>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rPr>
      <w:szCs w:val="24"/>
    </w:rPr>
  </w:style>
  <w:style w:type="paragraph" w:styleId="19">
    <w:name w:val="Body Text Indent 3"/>
    <w:basedOn w:val="1"/>
    <w:qFormat/>
    <w:uiPriority w:val="0"/>
    <w:pPr>
      <w:ind w:firstLine="560"/>
    </w:pPr>
    <w:rPr>
      <w:rFonts w:ascii="楷体_GB2312" w:eastAsia="楷体_GB2312"/>
      <w:sz w:val="28"/>
    </w:rPr>
  </w:style>
  <w:style w:type="paragraph" w:styleId="20">
    <w:name w:val="toc 2"/>
    <w:basedOn w:val="1"/>
    <w:next w:val="1"/>
    <w:qFormat/>
    <w:uiPriority w:val="39"/>
    <w:pPr>
      <w:ind w:left="420" w:leftChars="200"/>
    </w:pPr>
    <w:rPr>
      <w:szCs w:val="24"/>
    </w:rPr>
  </w:style>
  <w:style w:type="paragraph" w:styleId="21">
    <w:name w:val="index 1"/>
    <w:basedOn w:val="1"/>
    <w:next w:val="1"/>
    <w:semiHidden/>
    <w:qFormat/>
    <w:uiPriority w:val="0"/>
  </w:style>
  <w:style w:type="paragraph" w:styleId="22">
    <w:name w:val="Title"/>
    <w:basedOn w:val="1"/>
    <w:qFormat/>
    <w:uiPriority w:val="0"/>
    <w:pPr>
      <w:spacing w:before="360" w:after="240" w:line="360" w:lineRule="auto"/>
      <w:jc w:val="center"/>
    </w:pPr>
    <w:rPr>
      <w:rFonts w:ascii="Arial" w:hAnsi="Arial"/>
      <w:b/>
      <w:sz w:val="36"/>
    </w:rPr>
  </w:style>
  <w:style w:type="paragraph" w:styleId="23">
    <w:name w:val="annotation subject"/>
    <w:basedOn w:val="8"/>
    <w:next w:val="8"/>
    <w:semiHidden/>
    <w:qFormat/>
    <w:uiPriority w:val="0"/>
    <w:rPr>
      <w:b/>
      <w:bCs/>
    </w:r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semiHidden/>
    <w:qFormat/>
    <w:uiPriority w:val="0"/>
    <w:rPr>
      <w:sz w:val="21"/>
      <w:szCs w:val="21"/>
    </w:rPr>
  </w:style>
  <w:style w:type="paragraph" w:customStyle="1" w:styleId="30">
    <w:name w:val="HTML Body"/>
    <w:qFormat/>
    <w:uiPriority w:val="0"/>
    <w:pPr>
      <w:autoSpaceDE w:val="0"/>
      <w:autoSpaceDN w:val="0"/>
      <w:adjustRightInd w:val="0"/>
    </w:pPr>
    <w:rPr>
      <w:rFonts w:ascii="Arial" w:hAnsi="Arial" w:eastAsia="Times New Roman" w:cs="Times New Roman"/>
      <w:lang w:val="en-US" w:eastAsia="en-US" w:bidi="ar-SA"/>
    </w:rPr>
  </w:style>
  <w:style w:type="paragraph" w:customStyle="1" w:styleId="31">
    <w:name w:val="xl22"/>
    <w:basedOn w:val="1"/>
    <w:qFormat/>
    <w:uiPriority w:val="0"/>
    <w:pPr>
      <w:widowControl/>
      <w:spacing w:before="100" w:beforeAutospacing="1" w:after="100" w:afterAutospacing="1"/>
      <w:jc w:val="left"/>
      <w:textAlignment w:val="center"/>
    </w:pPr>
    <w:rPr>
      <w:rFonts w:ascii="宋体" w:hAnsi="宋体"/>
      <w:kern w:val="0"/>
      <w:sz w:val="18"/>
      <w:szCs w:val="18"/>
      <w:lang w:eastAsia="en-US"/>
    </w:rPr>
  </w:style>
  <w:style w:type="paragraph" w:customStyle="1" w:styleId="32">
    <w:name w:val="xl23"/>
    <w:basedOn w:val="1"/>
    <w:qFormat/>
    <w:uiPriority w:val="0"/>
    <w:pPr>
      <w:widowControl/>
      <w:spacing w:before="100" w:beforeAutospacing="1" w:after="100" w:afterAutospacing="1"/>
      <w:jc w:val="left"/>
      <w:textAlignment w:val="center"/>
    </w:pPr>
    <w:rPr>
      <w:rFonts w:ascii="宋体" w:hAnsi="宋体"/>
      <w:b/>
      <w:bCs/>
      <w:kern w:val="0"/>
      <w:sz w:val="18"/>
      <w:szCs w:val="18"/>
      <w:lang w:eastAsia="en-US"/>
    </w:rPr>
  </w:style>
  <w:style w:type="paragraph" w:customStyle="1" w:styleId="3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34">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5">
    <w:name w:val="Table Text"/>
    <w:qFormat/>
    <w:uiPriority w:val="0"/>
    <w:pPr>
      <w:overflowPunct w:val="0"/>
      <w:autoSpaceDE w:val="0"/>
      <w:autoSpaceDN w:val="0"/>
      <w:adjustRightInd w:val="0"/>
      <w:textAlignment w:val="baseline"/>
    </w:pPr>
    <w:rPr>
      <w:rFonts w:ascii="Times New Roman" w:hAnsi="Times New Roman" w:eastAsia="宋体" w:cs="Times New Roman"/>
      <w:color w:val="000000"/>
      <w:sz w:val="24"/>
      <w:lang w:val="en-US" w:eastAsia="en-US" w:bidi="ar-SA"/>
    </w:rPr>
  </w:style>
  <w:style w:type="character" w:customStyle="1" w:styleId="36">
    <w:name w:val="日期 Char"/>
    <w:link w:val="13"/>
    <w:qFormat/>
    <w:uiPriority w:val="0"/>
    <w:rPr>
      <w:kern w:val="2"/>
      <w:sz w:val="21"/>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4.emf"/><Relationship Id="rId16" Type="http://schemas.openxmlformats.org/officeDocument/2006/relationships/oleObject" Target="embeddings/Document1.doc"/><Relationship Id="rId15" Type="http://schemas.openxmlformats.org/officeDocument/2006/relationships/image" Target="media/image3.emf"/><Relationship Id="rId14" Type="http://schemas.openxmlformats.org/officeDocument/2006/relationships/package" Target="embeddings/Workbook1.xlsx"/><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5496-AE95-452A-BF85-A42E5E7ABB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4499</Words>
  <Characters>1900</Characters>
  <Lines>15</Lines>
  <Paragraphs>12</Paragraphs>
  <TotalTime>50</TotalTime>
  <ScaleCrop>false</ScaleCrop>
  <LinksUpToDate>false</LinksUpToDate>
  <CharactersWithSpaces>6387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2016-11-16T02:23:00Z</dcterms:created>
  <dc:creator>CN=zhangliehua/OU=zh/O=ccb</dc:creator>
  <cp:lastModifiedBy>Administrator</cp:lastModifiedBy>
  <cp:lastPrinted>2004-05-09T23:47:00Z</cp:lastPrinted>
  <dcterms:modified xsi:type="dcterms:W3CDTF">2024-11-04T08:55:33Z</dcterms:modified>
  <dc:title>企业采购谈判邀请函</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8988A6E0870B486587660F9ADC1BD285_13</vt:lpwstr>
  </property>
</Properties>
</file>