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pStyle w:val="10"/>
        <w:numPr>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1、企业必须是在中华人民共和国境内注册的具有独立承担民事责任能力的法人，注册资本需在1000万元人民币（或等值外币）及以上；</w:t>
      </w:r>
    </w:p>
    <w:p>
      <w:pPr>
        <w:pStyle w:val="10"/>
        <w:numPr>
          <w:ilvl w:val="0"/>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2、企业须成立3年及以上，经营状况正常且最近一年净利润为正数；在最近三年内的经营活动中没有行贿犯罪等重大违法记录、未被“信用中国”网列入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pStyle w:val="10"/>
        <w:numPr>
          <w:ilvl w:val="0"/>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3、能开具增值税专用发票；</w:t>
      </w:r>
    </w:p>
    <w:p>
      <w:pPr>
        <w:pStyle w:val="10"/>
        <w:numPr>
          <w:ilvl w:val="0"/>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4、具备信息安全管理体系认证证书等资质；</w:t>
      </w:r>
    </w:p>
    <w:p>
      <w:pPr>
        <w:pStyle w:val="10"/>
        <w:numPr>
          <w:ilvl w:val="0"/>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5、企业近3年有银行业开展同类营销活动运营服务合作案例，具有与建行系统内开展同类营销活动运营服务案例的企业优先；</w:t>
      </w:r>
    </w:p>
    <w:p>
      <w:pPr>
        <w:pStyle w:val="10"/>
        <w:numPr>
          <w:ilvl w:val="0"/>
          <w:numId w:val="0"/>
        </w:numPr>
        <w:ind w:leftChars="0" w:firstLine="640" w:firstLineChars="200"/>
        <w:rPr>
          <w:rFonts w:hint="eastAsia" w:ascii="彩虹粗仿宋" w:hAnsi="彩虹粗仿宋" w:eastAsia="彩虹粗仿宋" w:cs="宋体"/>
          <w:kern w:val="0"/>
          <w:sz w:val="32"/>
          <w:szCs w:val="32"/>
          <w:lang w:val="en-US" w:eastAsia="zh-CN" w:bidi="ar-SA"/>
        </w:rPr>
      </w:pPr>
      <w:r>
        <w:rPr>
          <w:rFonts w:hint="eastAsia" w:ascii="彩虹粗仿宋" w:hAnsi="彩虹粗仿宋" w:eastAsia="彩虹粗仿宋" w:cs="宋体"/>
          <w:kern w:val="0"/>
          <w:sz w:val="32"/>
          <w:szCs w:val="32"/>
          <w:lang w:val="en-US" w:eastAsia="zh-CN" w:bidi="ar-SA"/>
        </w:rPr>
        <w:t>6、法定代表人（负责人）为同一人或存在控股、管理关系的不同申请人，不得同时参加本项目（提供承诺函）。</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Segoe UI" w:eastAsia="彩虹粗仿宋" w:cs="Segoe UI"/>
          <w:color w:val="333333"/>
          <w:sz w:val="32"/>
          <w:szCs w:val="32"/>
        </w:rPr>
        <w:t>1、</w:t>
      </w:r>
      <w:r>
        <w:rPr>
          <w:rFonts w:hint="eastAsia" w:ascii="彩虹粗仿宋" w:hAnsi="彩虹粗仿宋" w:eastAsia="彩虹粗仿宋"/>
          <w:sz w:val="32"/>
          <w:szCs w:val="32"/>
        </w:rPr>
        <w:t>发放优惠券：配合活动方案制定，优惠券及优惠红包发放。</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037"/>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134"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活动类型 </w:t>
            </w:r>
          </w:p>
        </w:tc>
        <w:tc>
          <w:tcPr>
            <w:tcW w:w="4037"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活动形式</w:t>
            </w:r>
          </w:p>
        </w:tc>
        <w:tc>
          <w:tcPr>
            <w:tcW w:w="0" w:type="auto"/>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优惠券形式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134"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1.建行生活活动</w:t>
            </w:r>
          </w:p>
        </w:tc>
        <w:tc>
          <w:tcPr>
            <w:tcW w:w="4037"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活动形式包括但不限于平台拉新活动、平台活跃活动、金融转化活动：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1.平台拉新活动：包括但不限于新人有礼、裂变拼团、邀约大使。</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2.平台活跃活动:包括但不限于限时抢券、好券中心、签到有礼、幸运抽奖、达标有礼活动。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金融转化活动:包括但不限于钱包首单立减、钱包随机减、建行生活卡新客见面礼、建行生活卡随机减、达标月月领好礼、建行生活卡超级积分、CC豆兑换、手机银行兑换码、属地化场景推广、政府消费券、龙卡专享等活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4.微信立减金、数字人民币红包发放等活动。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特色场景推广活动：针对建行生活场景建设开展专项的体验活动，包括且不限于交通出行、生活缴费、商超餐饮、文化旅游、智慧食堂、建融惠学等行内外场景通过优惠券、满减券、定向派券、权益配置等活动引导客户消费体验。</w:t>
            </w:r>
          </w:p>
        </w:tc>
        <w:tc>
          <w:tcPr>
            <w:tcW w:w="0" w:type="auto"/>
            <w:vMerge w:val="restart"/>
            <w:shd w:val="clear" w:color="auto" w:fill="auto"/>
            <w:vAlign w:val="center"/>
          </w:tcPr>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折扣券：包括1-9.9折各类型折扣，单笔封顶1-1000元不等。</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满减券（信用卡专享、嗨GO商圈、美食好券、厦门心意礼包等）。满A元减B元（其中A&gt;B&gt;0），根据活动形式灵活调整。</w:t>
            </w:r>
          </w:p>
          <w:p>
            <w:pPr>
              <w:pStyle w:val="10"/>
              <w:rPr>
                <w:rFonts w:ascii="宋体" w:hAnsi="宋体" w:eastAsia="宋体" w:cs="宋体"/>
                <w:color w:val="000000"/>
                <w:kern w:val="0"/>
                <w:szCs w:val="21"/>
              </w:rPr>
            </w:pP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有价券（代金券、团餐、特定门店专属等）：A元购B元（其中0&lt;A&lt;B）, 根据活动形式灵活调整。</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数字人民币红包：1-100元红包不等。</w:t>
            </w:r>
          </w:p>
          <w:p>
            <w:pPr>
              <w:pStyle w:val="10"/>
              <w:widowControl/>
              <w:ind w:left="360" w:firstLine="0" w:firstLineChars="0"/>
              <w:jc w:val="left"/>
              <w:rPr>
                <w:rFonts w:ascii="宋体" w:hAnsi="宋体" w:eastAsia="宋体" w:cs="宋体"/>
                <w:color w:val="000000"/>
                <w:kern w:val="0"/>
                <w:szCs w:val="21"/>
              </w:rPr>
            </w:pPr>
          </w:p>
          <w:p>
            <w:pPr>
              <w:pStyle w:val="10"/>
              <w:widowControl/>
              <w:numPr>
                <w:ilvl w:val="0"/>
                <w:numId w:val="1"/>
              </w:numPr>
              <w:ind w:firstLineChars="0"/>
              <w:jc w:val="left"/>
              <w:rPr>
                <w:rFonts w:ascii="宋体" w:hAnsi="宋体" w:eastAsia="宋体" w:cs="宋体"/>
                <w:color w:val="000000"/>
                <w:kern w:val="0"/>
                <w:szCs w:val="21"/>
              </w:rPr>
            </w:pPr>
            <w:r>
              <w:rPr>
                <w:rFonts w:hint="eastAsia" w:ascii="宋体" w:hAnsi="宋体" w:eastAsia="宋体" w:cs="宋体"/>
                <w:color w:val="000000"/>
                <w:kern w:val="0"/>
                <w:szCs w:val="21"/>
              </w:rPr>
              <w:t>随机立减：数字人民币随机立减金1-999元不等。</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134" w:type="dxa"/>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2.数字人民币活动</w:t>
            </w:r>
          </w:p>
        </w:tc>
        <w:tc>
          <w:tcPr>
            <w:tcW w:w="4037"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活动形式包括但不限于平台拉新活动、特色场景推广活动、商户促活活动：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平台拉新活动：主要依托建行生活、手机银行“双子星”平台，通过新人礼、优惠券、随机立减、消费达标赠券等活动模式，结合定向派券工具、钱包开立牌“即开即送优惠券”工具，持续进行个人钱包拉新、消费交易促活。</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特色场景推广活动：针对数币受理场景建设开展专项的消费体验活动，包括且不限于交通出行、生活缴费、商超餐饮、文化旅游、智慧食堂等行内外场景通过优惠券、满减券、数字人民币红包、定向派券、权益配置等活动引导客户消费体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3.定向客群活动：针对指定用户，发放数字人民币红包等。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4.拉新促活活动：通过随机减、满减券、红包等活动进行拉新促活。</w:t>
            </w:r>
          </w:p>
        </w:tc>
        <w:tc>
          <w:tcPr>
            <w:tcW w:w="0" w:type="auto"/>
            <w:vMerge w:val="continue"/>
            <w:shd w:val="clear" w:color="auto" w:fill="auto"/>
            <w:vAlign w:val="center"/>
          </w:tcPr>
          <w:p>
            <w:pPr>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134" w:type="dxa"/>
            <w:shd w:val="clear" w:color="auto" w:fill="auto"/>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3.与其他部门合作活动</w:t>
            </w:r>
          </w:p>
        </w:tc>
        <w:tc>
          <w:tcPr>
            <w:tcW w:w="4037"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活动形式包括但不限于平台拉新活动、平台活跃活动、金融转化活动：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1.平台拉新活动：包括但不限于新人客按揭有礼、建易贷新客有礼住房租贷有礼。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2.平台活跃活动:包括但不限于限时抢券、好券中心、签到有礼、幸运抽奖、达标有礼活动。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3.金融转化活动:包括但不限于钱包首单立减、钱包随机减、建行生活卡新客见面礼、建行生活卡随机减、达标月月领好礼、建行生活卡超级积分、CC豆兑换、手机银行兑换码、龙卡专享、属地化场景推广等活动。</w:t>
            </w:r>
          </w:p>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4.微信立减金、数字人民币红包、信用卡满减券发放等活动。</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5.特色场景推广活动：针对建行生活场景建设开展专项的体验活动，包括且不限于交通出行、生活缴费、商超餐饮、文化旅游、智慧食堂、建融惠学等行内外场景通过优惠券、满减券、定向派券、权益配置等活动引导客户消费体验。</w:t>
            </w:r>
          </w:p>
        </w:tc>
        <w:tc>
          <w:tcPr>
            <w:tcW w:w="0" w:type="auto"/>
            <w:vMerge w:val="continue"/>
            <w:shd w:val="clear" w:color="auto" w:fill="auto"/>
            <w:vAlign w:val="center"/>
          </w:tcPr>
          <w:p>
            <w:pPr>
              <w:widowControl/>
              <w:jc w:val="left"/>
              <w:rPr>
                <w:rFonts w:ascii="宋体" w:hAnsi="宋体" w:eastAsia="宋体" w:cs="宋体"/>
                <w:color w:val="000000"/>
                <w:kern w:val="0"/>
                <w:szCs w:val="21"/>
              </w:rPr>
            </w:pPr>
          </w:p>
        </w:tc>
      </w:tr>
    </w:tbl>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Segoe UI" w:eastAsia="彩虹粗仿宋" w:cs="Segoe UI"/>
          <w:color w:val="333333"/>
          <w:sz w:val="32"/>
          <w:szCs w:val="32"/>
        </w:rPr>
        <w:t>2、</w:t>
      </w:r>
      <w:r>
        <w:rPr>
          <w:rFonts w:hint="eastAsia" w:ascii="彩虹粗仿宋" w:hAnsi="彩虹粗仿宋" w:eastAsia="彩虹粗仿宋"/>
          <w:sz w:val="32"/>
          <w:szCs w:val="32"/>
        </w:rPr>
        <w:t>商户沟通：营销活动商户沟通、培训。</w:t>
      </w:r>
    </w:p>
    <w:p>
      <w:pPr>
        <w:pStyle w:val="4"/>
        <w:shd w:val="clear" w:color="auto" w:fill="FFFFFF"/>
        <w:spacing w:before="0" w:beforeAutospacing="0" w:after="0" w:afterAutospacing="0" w:line="645" w:lineRule="atLeast"/>
        <w:ind w:firstLine="480"/>
        <w:rPr>
          <w:rFonts w:ascii="彩虹粗仿宋" w:hAnsi="彩虹粗仿宋" w:eastAsia="彩虹粗仿宋"/>
          <w:sz w:val="32"/>
          <w:szCs w:val="32"/>
        </w:rPr>
      </w:pPr>
      <w:r>
        <w:rPr>
          <w:rFonts w:hint="eastAsia" w:ascii="彩虹粗仿宋" w:hAnsi="彩虹粗仿宋" w:eastAsia="彩虹粗仿宋"/>
          <w:sz w:val="32"/>
          <w:szCs w:val="32"/>
        </w:rPr>
        <w:t>3、资金清算：营销活动优惠资金的对帐与清算。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580" w:lineRule="exact"/>
        <w:ind w:firstLine="716" w:firstLineChars="224"/>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一）发放营销活动优惠券，并做好营销活动执行与监测。包括在每期营销活动开展前准备好营销费用，配合我行拟定营销活动方案，通过自有渠道协助活动宣传扩大活动效果，动态监测活动费用投放进度并提出合理优化建议。</w:t>
      </w:r>
    </w:p>
    <w:p>
      <w:pPr>
        <w:spacing w:line="580" w:lineRule="exact"/>
        <w:ind w:firstLine="640" w:firstLineChars="200"/>
        <w:rPr>
          <w:rFonts w:ascii="彩虹粗仿宋" w:hAnsi="彩虹粗仿宋" w:eastAsia="彩虹粗仿宋" w:cs="宋体"/>
          <w:kern w:val="0"/>
          <w:sz w:val="32"/>
          <w:szCs w:val="32"/>
        </w:rPr>
      </w:pPr>
      <w:r>
        <w:rPr>
          <w:rFonts w:hint="eastAsia" w:ascii="彩虹粗仿宋" w:hAnsi="彩虹粗仿宋" w:eastAsia="彩虹粗仿宋" w:cs="宋体"/>
          <w:kern w:val="0"/>
          <w:sz w:val="32"/>
          <w:szCs w:val="32"/>
        </w:rPr>
        <w:t>（二）做好营销活动的宣传和商户培训，处理和解决商户营销活动执行过程中产生的各类问题。</w:t>
      </w:r>
    </w:p>
    <w:p>
      <w:pPr>
        <w:pStyle w:val="4"/>
        <w:spacing w:before="75" w:beforeAutospacing="0" w:after="75" w:afterAutospacing="0" w:line="495" w:lineRule="atLeast"/>
        <w:ind w:firstLine="645"/>
        <w:rPr>
          <w:rFonts w:ascii="彩虹粗仿宋" w:hAnsi="彩虹粗仿宋" w:eastAsia="彩虹粗仿宋"/>
          <w:sz w:val="32"/>
          <w:szCs w:val="32"/>
        </w:rPr>
      </w:pPr>
      <w:r>
        <w:rPr>
          <w:rFonts w:hint="eastAsia" w:ascii="彩虹粗仿宋" w:hAnsi="彩虹粗仿宋" w:eastAsia="彩虹粗仿宋"/>
          <w:sz w:val="32"/>
          <w:szCs w:val="32"/>
        </w:rPr>
        <w:t>（三）做好商户对账及差错处理，并按要求完成营销活动优惠券资金对账和清算执行。</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粗仿宋" w:hAnsi="微软雅黑" w:eastAsia="彩虹粗仿宋" w:cs="Segoe UI"/>
          <w:color w:val="333333"/>
          <w:sz w:val="32"/>
          <w:szCs w:val="32"/>
        </w:rPr>
        <w:t>服务供应商具有与其业务范围相适应的服务人员和管理人员，具有与其业务范围相适应的固定的经营场所、一定数量的设备、设施，具备相应的产品供货能力。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1、服务供应商按照本合同约定的服务内容和服务要求按时向我行提供合格的服务；服务期内服务供应商有义务对所提供的服务按照我行要求不断调整，以达到服务的优化。</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2、信息保密方面。服务供应商应严守我行的商业秘密、技术秘密、客户信息和其他商业及业务信息，不得泄露。</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560" w:lineRule="exact"/>
        <w:ind w:firstLine="64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snapToGrid w:val="0"/>
          <w:color w:val="000000" w:themeColor="text1"/>
          <w:kern w:val="0"/>
          <w:sz w:val="32"/>
          <w:szCs w:val="32"/>
          <w14:textFill>
            <w14:solidFill>
              <w14:schemeClr w14:val="tx1"/>
            </w14:solidFill>
          </w14:textFill>
        </w:rPr>
        <w:t>1</w:t>
      </w:r>
      <w:r>
        <w:rPr>
          <w:rFonts w:ascii="彩虹粗仿宋" w:hAnsi="宋体" w:eastAsia="彩虹粗仿宋"/>
          <w:snapToGrid w:val="0"/>
          <w:color w:val="000000" w:themeColor="text1"/>
          <w:kern w:val="0"/>
          <w:sz w:val="32"/>
          <w:szCs w:val="32"/>
          <w14:textFill>
            <w14:solidFill>
              <w14:schemeClr w14:val="tx1"/>
            </w14:solidFill>
          </w14:textFill>
        </w:rPr>
        <w:t>.</w:t>
      </w:r>
      <w:r>
        <w:rPr>
          <w:rFonts w:hint="eastAsia" w:ascii="彩虹粗仿宋" w:hAnsi="宋体" w:eastAsia="彩虹粗仿宋"/>
          <w:snapToGrid w:val="0"/>
          <w:color w:val="000000" w:themeColor="text1"/>
          <w:kern w:val="0"/>
          <w:sz w:val="32"/>
          <w:szCs w:val="32"/>
          <w14:textFill>
            <w14:solidFill>
              <w14:schemeClr w14:val="tx1"/>
            </w14:solidFill>
          </w14:textFill>
        </w:rPr>
        <w:t>活动开展前，配合我方完成活动方案制定及优惠券发放的申请。需要时做好参加活动商户的沟通工作。</w:t>
      </w:r>
    </w:p>
    <w:p>
      <w:pPr>
        <w:spacing w:line="560" w:lineRule="exact"/>
        <w:ind w:firstLine="640" w:firstLineChars="200"/>
        <w:rPr>
          <w:rFonts w:ascii="彩虹粗仿宋" w:hAnsi="彩虹粗仿宋" w:eastAsia="彩虹粗仿宋" w:cs="宋体"/>
          <w:kern w:val="0"/>
          <w:sz w:val="32"/>
          <w:szCs w:val="32"/>
        </w:rPr>
      </w:pPr>
      <w:r>
        <w:rPr>
          <w:rFonts w:hint="eastAsia" w:ascii="彩虹粗仿宋" w:hAnsi="宋体" w:eastAsia="彩虹粗仿宋"/>
          <w:snapToGrid w:val="0"/>
          <w:color w:val="000000" w:themeColor="text1"/>
          <w:kern w:val="0"/>
          <w:sz w:val="32"/>
          <w:szCs w:val="32"/>
          <w14:textFill>
            <w14:solidFill>
              <w14:schemeClr w14:val="tx1"/>
            </w14:solidFill>
          </w14:textFill>
        </w:rPr>
        <w:t>2. 活动开展时，可通过</w:t>
      </w:r>
      <w:r>
        <w:rPr>
          <w:rFonts w:hint="eastAsia" w:ascii="彩虹粗仿宋" w:hAnsi="彩虹粗仿宋" w:eastAsia="彩虹粗仿宋" w:cs="宋体"/>
          <w:kern w:val="0"/>
          <w:sz w:val="32"/>
          <w:szCs w:val="32"/>
        </w:rPr>
        <w:t>自有渠道协助活动宣传，监测活动费用投放进度并提出合理优化建议。协助处理商户营销活动执行过程中产生的问题。</w:t>
      </w:r>
    </w:p>
    <w:p>
      <w:pPr>
        <w:spacing w:line="560" w:lineRule="exact"/>
        <w:ind w:firstLine="640" w:firstLineChars="200"/>
        <w:rPr>
          <w:rFonts w:ascii="彩虹粗仿宋" w:hAnsi="彩虹粗仿宋" w:eastAsia="彩虹粗仿宋" w:cs="宋体"/>
          <w:kern w:val="0"/>
          <w:sz w:val="32"/>
          <w:szCs w:val="32"/>
        </w:rPr>
      </w:pPr>
      <w:r>
        <w:rPr>
          <w:rFonts w:hint="eastAsia" w:ascii="彩虹粗仿宋" w:hAnsi="宋体" w:eastAsia="彩虹粗仿宋"/>
          <w:snapToGrid w:val="0"/>
          <w:color w:val="000000" w:themeColor="text1"/>
          <w:kern w:val="0"/>
          <w:sz w:val="32"/>
          <w:szCs w:val="32"/>
          <w14:textFill>
            <w14:solidFill>
              <w14:schemeClr w14:val="tx1"/>
            </w14:solidFill>
          </w14:textFill>
        </w:rPr>
        <w:t>3. 活动结束后，及时开展活动</w:t>
      </w:r>
      <w:r>
        <w:rPr>
          <w:rFonts w:hint="eastAsia" w:ascii="彩虹粗仿宋" w:hAnsi="彩虹粗仿宋" w:eastAsia="彩虹粗仿宋"/>
          <w:sz w:val="32"/>
          <w:szCs w:val="32"/>
        </w:rPr>
        <w:t>优惠券资金对账和清算，向我行反馈对账和清算结果</w:t>
      </w:r>
      <w:r>
        <w:rPr>
          <w:rFonts w:hint="eastAsia" w:ascii="彩虹粗仿宋" w:hAnsi="彩虹粗仿宋" w:eastAsia="彩虹粗仿宋" w:cs="宋体"/>
          <w:kern w:val="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建行生活”与“数字人民币”优惠券、红包等是根据不同的活动进行发放，无法提前确定或预估标的数量，故须中标供应商同意按签定框架合同约定的履约标准据实发放后，再根据具体活动的约定在项目周期中定期结算或在项目结束后一次性结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根据服务供应需求，对服务供应在履行合同过程中出现的产品质量、客户或商户投诉等问题，服务供应商应及时响应、协调、沟通，解决相关问题，事后还需跟踪与检查，确保服务质量。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十、其他要求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1、具备一定的系统开发能力和数据处理能力，能够在需要时进行双方系统对接。</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bookmarkStart w:id="0" w:name="_GoBack"/>
      <w:bookmarkEnd w:id="0"/>
      <w:r>
        <w:rPr>
          <w:rFonts w:hint="eastAsia" w:ascii="彩虹粗仿宋" w:hAnsi="宋体" w:eastAsia="彩虹粗仿宋" w:cs="Times New Roman"/>
          <w:snapToGrid w:val="0"/>
          <w:kern w:val="0"/>
          <w:sz w:val="32"/>
          <w:szCs w:val="32"/>
        </w:rPr>
        <w:t>、能够在需要时提供T+0、T+1的清算与对账。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A044C"/>
    <w:multiLevelType w:val="multilevel"/>
    <w:tmpl w:val="0A8A04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6AEB"/>
    <w:rsid w:val="00086DA4"/>
    <w:rsid w:val="000B5C45"/>
    <w:rsid w:val="000B67EB"/>
    <w:rsid w:val="000E7876"/>
    <w:rsid w:val="000F00C7"/>
    <w:rsid w:val="00112CA4"/>
    <w:rsid w:val="00155A37"/>
    <w:rsid w:val="001977B1"/>
    <w:rsid w:val="001D49C0"/>
    <w:rsid w:val="001E436C"/>
    <w:rsid w:val="00202060"/>
    <w:rsid w:val="00241F06"/>
    <w:rsid w:val="002B3FC3"/>
    <w:rsid w:val="002B610B"/>
    <w:rsid w:val="002C7658"/>
    <w:rsid w:val="00311961"/>
    <w:rsid w:val="00321D95"/>
    <w:rsid w:val="0043538E"/>
    <w:rsid w:val="00444B67"/>
    <w:rsid w:val="00483676"/>
    <w:rsid w:val="005723DF"/>
    <w:rsid w:val="005C4951"/>
    <w:rsid w:val="005D1D74"/>
    <w:rsid w:val="005E35B5"/>
    <w:rsid w:val="0062736D"/>
    <w:rsid w:val="006645FA"/>
    <w:rsid w:val="0070232D"/>
    <w:rsid w:val="00734A26"/>
    <w:rsid w:val="00734C6F"/>
    <w:rsid w:val="007F53A5"/>
    <w:rsid w:val="007F6140"/>
    <w:rsid w:val="007F6D88"/>
    <w:rsid w:val="00855AEA"/>
    <w:rsid w:val="00870477"/>
    <w:rsid w:val="008D5BE6"/>
    <w:rsid w:val="008F6AA4"/>
    <w:rsid w:val="00966014"/>
    <w:rsid w:val="00A1583A"/>
    <w:rsid w:val="00A41498"/>
    <w:rsid w:val="00A82E93"/>
    <w:rsid w:val="00B71BB6"/>
    <w:rsid w:val="00B72F6D"/>
    <w:rsid w:val="00B8313C"/>
    <w:rsid w:val="00B84FDC"/>
    <w:rsid w:val="00C22BBB"/>
    <w:rsid w:val="00C36E16"/>
    <w:rsid w:val="00CC140A"/>
    <w:rsid w:val="00CD1CB8"/>
    <w:rsid w:val="00D732A4"/>
    <w:rsid w:val="00DE1F48"/>
    <w:rsid w:val="00DE4BFD"/>
    <w:rsid w:val="00E73CB9"/>
    <w:rsid w:val="00F91A54"/>
    <w:rsid w:val="00F973F5"/>
    <w:rsid w:val="00FB0D5B"/>
    <w:rsid w:val="00FB249C"/>
    <w:rsid w:val="00FD1437"/>
    <w:rsid w:val="4319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semiHidden/>
    <w:uiPriority w:val="0"/>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361</Words>
  <Characters>2061</Characters>
  <Lines>17</Lines>
  <Paragraphs>4</Paragraphs>
  <TotalTime>1</TotalTime>
  <ScaleCrop>false</ScaleCrop>
  <LinksUpToDate>false</LinksUpToDate>
  <CharactersWithSpaces>2418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2023-08-16T02:19:00Z</dcterms:created>
  <dc:creator>Apache POI</dc:creator>
  <cp:lastModifiedBy>Administrator</cp:lastModifiedBy>
  <dcterms:modified xsi:type="dcterms:W3CDTF">2024-09-25T07:06:42Z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0C32542FA24246038E3336F36F19F3BD_12</vt:lpwstr>
  </property>
</Properties>
</file>